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9667BC">
        <w:rPr>
          <w:rFonts w:ascii="Times New Roman" w:hAnsi="Times New Roman" w:cs="Times New Roman"/>
          <w:sz w:val="26"/>
          <w:szCs w:val="26"/>
        </w:rPr>
        <w:t>4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366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территорий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325"/>
        <w:gridCol w:w="10059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B548FB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</w:tc>
        <w:tc>
          <w:tcPr>
            <w:tcW w:w="2468" w:type="pct"/>
          </w:tcPr>
          <w:p w:rsidR="004F2A60" w:rsidRDefault="0036615F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9667BC" w:rsidRDefault="009667BC" w:rsidP="004F2A60">
            <w:pPr>
              <w:ind w:firstLine="0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приоритетных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проектов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развития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территорий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и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туризма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Курской</w:t>
            </w:r>
            <w:r w:rsidRPr="002D4C77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области</w:t>
            </w:r>
          </w:p>
          <w:p w:rsidR="00837D91" w:rsidRDefault="00837D91" w:rsidP="004F2A60">
            <w:pPr>
              <w:ind w:firstLine="0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 промышленности, торговли и предпринимательства курской области</w:t>
            </w:r>
          </w:p>
          <w:p w:rsidR="0036615F" w:rsidRPr="004F2A60" w:rsidRDefault="00837D91" w:rsidP="004F2A60">
            <w:pPr>
              <w:ind w:firstLine="0"/>
              <w:rPr>
                <w:sz w:val="26"/>
                <w:szCs w:val="26"/>
              </w:rPr>
            </w:pP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 финансов и бюджетного Контроля Курской области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1"/>
        <w:gridCol w:w="1953"/>
        <w:gridCol w:w="1024"/>
        <w:gridCol w:w="1620"/>
        <w:gridCol w:w="645"/>
        <w:gridCol w:w="565"/>
        <w:gridCol w:w="565"/>
        <w:gridCol w:w="562"/>
        <w:gridCol w:w="565"/>
        <w:gridCol w:w="565"/>
        <w:gridCol w:w="568"/>
        <w:gridCol w:w="3310"/>
        <w:gridCol w:w="2638"/>
      </w:tblGrid>
      <w:tr w:rsidR="00B548FB" w:rsidRPr="00111B12" w:rsidTr="00D266ED">
        <w:trPr>
          <w:trHeight w:val="84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D266ED">
        <w:trPr>
          <w:cantSplit/>
          <w:trHeight w:val="1134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D266ED">
        <w:trPr>
          <w:trHeight w:val="28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48FB" w:rsidRPr="00111B12" w:rsidTr="00D266ED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3661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3661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реализованных финансовых мероприятий в </w:t>
            </w:r>
            <w:proofErr w:type="gramStart"/>
            <w:r w:rsidR="0036615F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="003661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 по развитию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C2025C" w:rsidP="00B548FB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по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F" w:rsidRPr="009667BC" w:rsidRDefault="0036615F" w:rsidP="00366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7BC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786389" w:rsidRPr="009667BC" w:rsidRDefault="00786389" w:rsidP="0036615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36615F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программы (подпрограммы) по развитию МСП</w:t>
            </w:r>
          </w:p>
        </w:tc>
      </w:tr>
      <w:tr w:rsidR="00B548FB" w:rsidRPr="00111B12" w:rsidTr="00D266ED">
        <w:trPr>
          <w:cantSplit/>
          <w:trHeight w:val="494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6F73FF" w:rsidRDefault="0036615F" w:rsidP="006F73FF">
            <w:pPr>
              <w:rPr>
                <w:sz w:val="26"/>
                <w:szCs w:val="26"/>
              </w:rPr>
            </w:pPr>
            <w:proofErr w:type="gramStart"/>
            <w:r w:rsidRPr="002D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</w:t>
            </w:r>
            <w:r w:rsidR="008B3CCE" w:rsidRPr="002D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66ED" w:rsidRPr="002D4C7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районов и городских округов Курской области, обеспечивших реализацию </w:t>
            </w:r>
            <w:r w:rsidRPr="002D4C77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финансовых мероприятий в рамках муниципальных программ (подпрограмм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по развитию МСП, %</w:t>
            </w:r>
            <w:proofErr w:type="gram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8B3CCE" w:rsidP="00B548FB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916C9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36615F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F" w:rsidRPr="009667BC" w:rsidRDefault="0036615F" w:rsidP="00366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7BC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8B3CCE" w:rsidRPr="009667BC" w:rsidRDefault="008B3CCE" w:rsidP="00B548FB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D266ED" w:rsidP="00B548FB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программы (подпрограммы) по развитию МСП</w:t>
            </w:r>
          </w:p>
        </w:tc>
      </w:tr>
      <w:tr w:rsidR="00755620" w:rsidRPr="00111B12" w:rsidTr="00D266ED">
        <w:trPr>
          <w:cantSplit/>
          <w:trHeight w:val="494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2D4C77" w:rsidP="007556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9B188B" w:rsidRDefault="00755620" w:rsidP="007556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88B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условий для создания инфраструктуры для осуществления предпринимательской деятельности (электроэнергия, водоотведение, канализация, установка объектов НТО) при разработке проектной документации по застройке туристических территорий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55620" w:rsidRDefault="00755620" w:rsidP="00755620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  <w:p w:rsidR="00755620" w:rsidRDefault="00755620" w:rsidP="00755620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ind w:left="-137"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2D4C77" w:rsidRDefault="00755620" w:rsidP="00755620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приоритетных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проектов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развития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территорий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и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туризма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Курской</w:t>
            </w:r>
            <w:r w:rsidRPr="002D4C7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4C77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Застройка туристических территорий</w:t>
            </w:r>
          </w:p>
        </w:tc>
      </w:tr>
      <w:tr w:rsidR="00755620" w:rsidRPr="00111B12" w:rsidTr="00D266ED">
        <w:trPr>
          <w:cantSplit/>
          <w:trHeight w:val="494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2D4C77" w:rsidP="007556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E9712D" w:rsidRDefault="00755620" w:rsidP="007556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12D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инфраструктурных объектов для ведения предпринимательской деятельности, в том числе размещение субъектов МСП в НТО в рамках программы развития малых городов муниципальным районам и городским округам, участвующим в программе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55620" w:rsidRDefault="00755620" w:rsidP="00755620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  <w:p w:rsidR="00755620" w:rsidRDefault="00755620" w:rsidP="00755620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ind w:left="-137"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755620" w:rsidP="00755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Default="00755620" w:rsidP="00755620">
            <w:pPr>
              <w:ind w:right="48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приоритетных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проектов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развития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территорий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и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туризма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Курской</w:t>
            </w:r>
            <w:r w:rsidRPr="00E9712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E9712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области</w:t>
            </w:r>
          </w:p>
          <w:p w:rsidR="00C96E30" w:rsidRPr="00C96E30" w:rsidRDefault="00C96E30" w:rsidP="00C96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E3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C96E30" w:rsidRPr="00E9712D" w:rsidRDefault="00C96E30" w:rsidP="00755620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20" w:rsidRPr="00B548FB" w:rsidRDefault="00E9712D" w:rsidP="007556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малых городов</w:t>
            </w:r>
          </w:p>
        </w:tc>
      </w:tr>
      <w:tr w:rsidR="007D7B3D" w:rsidRPr="00111B12" w:rsidTr="007D7B3D">
        <w:trPr>
          <w:cantSplit/>
          <w:trHeight w:val="270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Default="007D7B3D" w:rsidP="007D7B3D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E9712D" w:rsidRDefault="007D7B3D" w:rsidP="007D7B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региональных финансовых мер поддержки муниципальных образований на поддержку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D7B3D" w:rsidRDefault="007D7B3D" w:rsidP="007D7B3D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  <w:p w:rsidR="007D7B3D" w:rsidRDefault="007D7B3D" w:rsidP="007D7B3D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ind w:left="-137"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Правила, порядок предоставления субсидий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B548FB" w:rsidRDefault="007D7B3D" w:rsidP="007D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Default="007D7B3D" w:rsidP="007D7B3D">
            <w:pPr>
              <w:ind w:right="48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 промышленности, торговли и предпринимательства Курской области</w:t>
            </w:r>
          </w:p>
          <w:p w:rsidR="00837D91" w:rsidRPr="00E9712D" w:rsidRDefault="00837D91" w:rsidP="007D7B3D">
            <w:pPr>
              <w:ind w:right="48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Министерство финансов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Default="007D7B3D" w:rsidP="007D7B3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5277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D266ED">
        <w:trPr>
          <w:trHeight w:val="780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6F73FF" w:rsidRDefault="00336910" w:rsidP="00D266E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целях поддержки субъектов малого и среднего предпринимательства</w:t>
            </w:r>
            <w:r w:rsidR="00D266ED"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D266ED" w:rsidRPr="006F73F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районов и городских округов Курской области </w:t>
            </w:r>
            <w:r w:rsidR="003B19D4"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подлежат выполнению</w:t>
            </w:r>
            <w:r w:rsidR="00D266ED"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следующие задачи:</w:t>
            </w:r>
          </w:p>
        </w:tc>
      </w:tr>
      <w:tr w:rsidR="00912B13" w:rsidRPr="004F2A60" w:rsidTr="0032377F">
        <w:trPr>
          <w:trHeight w:val="19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F40DC1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912B13" w:rsidRPr="004F2A60" w:rsidRDefault="00912B13" w:rsidP="00D266ED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финансовых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 по развитию МСП, в том числе в форме субсидий, грантов, софинансирования расходов.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B13" w:rsidRPr="00912B13" w:rsidRDefault="00912B13" w:rsidP="00912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Развитие муниципальной экономики и муниципального хозяйства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не только необходимым условием для формирования доходной базы местных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бюджетов, но и ключевым фактором обеспечения жизнедеятельности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образований. </w:t>
            </w:r>
          </w:p>
          <w:p w:rsidR="00912B13" w:rsidRPr="00912B13" w:rsidRDefault="00912B13" w:rsidP="00F65C6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Одним из главных условий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достижения поставленных задач по развитию сектора МСП является выстраивание эффективного муниципального взаимодействия с бизнесом. Муниципалитет выступать основным субъектом развития своей территории и, как следствие, первым заинтересованным звеном в эффективности развития бизнеса. Местное самоуправление является одним из важнейших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инструментов становления гражданского общества, а субъекты МСП </w:t>
            </w:r>
            <w:proofErr w:type="gramStart"/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возникают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и осуществляют</w:t>
            </w:r>
            <w:proofErr w:type="gramEnd"/>
            <w:r w:rsidRPr="00912B13">
              <w:rPr>
                <w:rFonts w:ascii="Times New Roman" w:hAnsi="Times New Roman" w:cs="Times New Roman"/>
                <w:sz w:val="26"/>
                <w:szCs w:val="26"/>
              </w:rPr>
              <w:t xml:space="preserve"> свою деятельность именно на территории конкретных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образований, и многие проблемы, в том числе проблемы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развития МСП, могут и должны быть решены именно на уровне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самоуправления. Немаловажную роль в </w:t>
            </w:r>
            <w:proofErr w:type="gramStart"/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этом</w:t>
            </w:r>
            <w:proofErr w:type="gramEnd"/>
            <w:r w:rsidRPr="00912B13">
              <w:rPr>
                <w:rFonts w:ascii="Times New Roman" w:hAnsi="Times New Roman" w:cs="Times New Roman"/>
                <w:sz w:val="26"/>
                <w:szCs w:val="26"/>
              </w:rPr>
              <w:t xml:space="preserve"> процессе играет прямая поддержка субъектов хозяйствования. При этом в настоящее время муниципальные программы по развитию МСП не выполняют своей функции поддержки бизнеса в связи с отсутствием в них мероприятий финансового характера или по причине не использования заложенных в программу бюджетных средств.</w:t>
            </w:r>
          </w:p>
          <w:p w:rsidR="00912B13" w:rsidRPr="004F2A60" w:rsidRDefault="00912B13" w:rsidP="00912B13">
            <w:pPr>
              <w:pStyle w:val="ConsPlusNonformat"/>
              <w:jc w:val="both"/>
              <w:rPr>
                <w:sz w:val="26"/>
                <w:szCs w:val="26"/>
              </w:rPr>
            </w:pPr>
            <w:r w:rsidRPr="00912B13">
              <w:rPr>
                <w:rFonts w:ascii="Times New Roman" w:hAnsi="Times New Roman" w:cs="Times New Roman"/>
                <w:sz w:val="26"/>
                <w:szCs w:val="26"/>
              </w:rPr>
              <w:t>Реализация задач будет способствовать вовлечению муниципальных образований непосредственно  в реализацию мер поддержки бизнеса.</w:t>
            </w:r>
          </w:p>
        </w:tc>
      </w:tr>
      <w:tr w:rsidR="00912B13" w:rsidRPr="004F2A60" w:rsidTr="007D7B3D">
        <w:trPr>
          <w:trHeight w:val="19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2</w:t>
            </w:r>
          </w:p>
          <w:p w:rsidR="00912B13" w:rsidRPr="004F2A60" w:rsidRDefault="00912B13" w:rsidP="006F73FF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 2030 году 100%-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охвата муниципальных программ (подпрограмм) по развитию МСП финансовыми услугами по поддержке субъектов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13" w:rsidRPr="004F2A60" w:rsidRDefault="00912B13" w:rsidP="000C3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896" w:rsidRPr="004F2A60" w:rsidTr="007D7B3D">
        <w:trPr>
          <w:trHeight w:val="19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4F2A60" w:rsidRDefault="00D45896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F02E20" w:rsidRDefault="00D4589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E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 w:rsidR="007E59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F02E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D45896" w:rsidRPr="00F02E20" w:rsidRDefault="00D45896" w:rsidP="007556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условий, предусматривающих создание инфраструктуры для осуществления предпринимательской деятельности (электроэнергия, водоотведение, канализация, установка объектов НТО) при разработке проектной документации по застройке туристических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4F2A60" w:rsidRDefault="00D45896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96" w:rsidRDefault="00D45896" w:rsidP="00D45896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Развитие тер</w:t>
            </w:r>
            <w:r w:rsidR="003E0B36">
              <w:rPr>
                <w:rFonts w:ascii="Times New Roman" w:hAnsi="Times New Roman" w:cs="Times New Roman"/>
                <w:sz w:val="26"/>
                <w:szCs w:val="26"/>
              </w:rPr>
              <w:t>риторий в рамках федеральных и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егиональных программ поддержки туристического потенциала Курской области является потенциальной точкой роста для сектора МСП, поскольку данный сегмент позволяет расширять сферу деятельности малого бизнеса </w:t>
            </w:r>
            <w:r w:rsidR="003E0B36">
              <w:rPr>
                <w:rFonts w:ascii="Times New Roman" w:hAnsi="Times New Roman" w:cs="Times New Roman"/>
                <w:sz w:val="26"/>
                <w:szCs w:val="26"/>
              </w:rPr>
              <w:t xml:space="preserve">не только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направлениям туризма, торговли, общественного питания, </w:t>
            </w:r>
            <w:r w:rsidR="003E0B36">
              <w:rPr>
                <w:rFonts w:ascii="Times New Roman" w:hAnsi="Times New Roman" w:cs="Times New Roman"/>
                <w:sz w:val="26"/>
                <w:szCs w:val="26"/>
              </w:rPr>
              <w:t xml:space="preserve">но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сопутствующих услуг (фото-, видео-услуги, производство сувенирной продукции</w:t>
            </w:r>
            <w:r w:rsidR="003E0B36">
              <w:rPr>
                <w:rFonts w:ascii="Times New Roman" w:hAnsi="Times New Roman" w:cs="Times New Roman"/>
                <w:sz w:val="26"/>
                <w:szCs w:val="26"/>
              </w:rPr>
              <w:t>, народно-художественных промыслов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пр.).</w:t>
            </w:r>
            <w:proofErr w:type="gramEnd"/>
          </w:p>
          <w:p w:rsidR="00D45896" w:rsidRPr="004F2A60" w:rsidRDefault="00D45896" w:rsidP="00D458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896" w:rsidRPr="004F2A60" w:rsidTr="007D7B3D">
        <w:trPr>
          <w:trHeight w:val="19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755620" w:rsidRDefault="00D45896" w:rsidP="007556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7A4EBE" w:rsidRDefault="00D458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E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</w:t>
            </w:r>
            <w:r w:rsidR="007E59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7A4E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D45896" w:rsidRPr="00F02E20" w:rsidRDefault="00D45896" w:rsidP="003E0B3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Планирование</w:t>
            </w: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проектно-конкурсной документации размещение инфраструктурных объектов для ведения предпринимательской деятельности, в том числе размещение субъектов МСП в НТО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рамках программы развития малых городов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4F2A60" w:rsidRDefault="00D45896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4F2A60" w:rsidRDefault="00D45896" w:rsidP="000C3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B3D" w:rsidRPr="004F2A60" w:rsidTr="007D7B3D">
        <w:trPr>
          <w:trHeight w:val="19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Default="007D7B3D" w:rsidP="007556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Default="007D7B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</w:t>
            </w:r>
            <w:r w:rsidR="007E59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7D7B3D" w:rsidRPr="007A4EBE" w:rsidRDefault="00C96E30" w:rsidP="007D7B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Соф</w:t>
            </w:r>
            <w:bookmarkStart w:id="0" w:name="_GoBack"/>
            <w:bookmarkEnd w:id="0"/>
            <w:r w:rsidR="007D7B3D">
              <w:rPr>
                <w:rFonts w:ascii="Times New Roman" w:hAnsi="Times New Roman" w:cs="Times New Roman"/>
                <w:bCs/>
                <w:sz w:val="26"/>
                <w:szCs w:val="26"/>
              </w:rPr>
              <w:t>инансирование муниципальных образований  на поддержку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4F2A60" w:rsidRDefault="007D7B3D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3D" w:rsidRPr="004F2A60" w:rsidRDefault="007D7B3D" w:rsidP="007D7B3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нацелена на финансовую поддержку местных программ развития МСП. Мероприятия, заложенные в муниципальные программы развития, являются более доступными для бизнеса в связи с отсутствием необходимости нести дополнительные в</w:t>
            </w:r>
            <w:r w:rsidR="00837D91">
              <w:rPr>
                <w:rFonts w:ascii="Times New Roman" w:hAnsi="Times New Roman" w:cs="Times New Roman"/>
                <w:sz w:val="26"/>
                <w:szCs w:val="26"/>
              </w:rPr>
              <w:t>ременные, логистические затраты в процессе получения поддержки.</w:t>
            </w:r>
          </w:p>
        </w:tc>
      </w:tr>
    </w:tbl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6F73FF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4C0AD2" w:rsidRPr="006F73FF" w:rsidRDefault="00054FCE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финансовых мероприятий в </w:t>
            </w:r>
            <w:proofErr w:type="gramStart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 по развитию МСП, в том числе в форме субсидий, грантов, софинансирования расходов.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6F73FF" w:rsidRDefault="006F73FF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CE" w:rsidRPr="006F73FF" w:rsidRDefault="00054FCE" w:rsidP="00054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417530" w:rsidRPr="006F73FF" w:rsidRDefault="00417530" w:rsidP="004F2A6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6F73FF" w:rsidRDefault="00B1243C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6F73FF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FF" w:rsidRPr="006F73FF" w:rsidRDefault="006F73FF" w:rsidP="006F73FF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6F73FF" w:rsidRPr="006F73FF" w:rsidRDefault="006F73FF" w:rsidP="006F73FF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6F73FF">
              <w:rPr>
                <w:rFonts w:eastAsia="Times New Roman"/>
                <w:sz w:val="26"/>
                <w:szCs w:val="26"/>
              </w:rPr>
              <w:t xml:space="preserve">Предусмотрена реализация финансовых услуг в </w:t>
            </w:r>
            <w:proofErr w:type="gramStart"/>
            <w:r w:rsidRPr="006F73FF">
              <w:rPr>
                <w:rFonts w:eastAsia="Times New Roman"/>
                <w:sz w:val="26"/>
                <w:szCs w:val="26"/>
              </w:rPr>
              <w:t>рамках</w:t>
            </w:r>
            <w:proofErr w:type="gramEnd"/>
            <w:r w:rsidRPr="006F73FF">
              <w:rPr>
                <w:rFonts w:eastAsia="Times New Roman"/>
                <w:sz w:val="26"/>
                <w:szCs w:val="26"/>
              </w:rPr>
              <w:t xml:space="preserve"> муниципальных программ (подпрограмм) по развитию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6F73FF" w:rsidRPr="006F73FF" w:rsidRDefault="006F73FF" w:rsidP="006F7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FF" w:rsidRPr="006F73FF" w:rsidRDefault="006F73FF" w:rsidP="006F7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6F73FF" w:rsidRPr="006F73FF" w:rsidRDefault="006F73FF" w:rsidP="00054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FF" w:rsidRPr="006F73FF" w:rsidRDefault="006F73FF" w:rsidP="00054FCE">
            <w:pPr>
              <w:pStyle w:val="Default"/>
              <w:jc w:val="center"/>
              <w:rPr>
                <w:sz w:val="26"/>
                <w:szCs w:val="26"/>
              </w:rPr>
            </w:pPr>
            <w:r w:rsidRPr="006F73FF">
              <w:rPr>
                <w:sz w:val="26"/>
                <w:szCs w:val="26"/>
              </w:rPr>
              <w:t>Отчет</w:t>
            </w:r>
          </w:p>
        </w:tc>
      </w:tr>
      <w:tr w:rsidR="009072B1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6F73FF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6F73FF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6F73FF" w:rsidRDefault="00054FCE" w:rsidP="00054F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Предоставлена финансовая услуга в </w:t>
            </w:r>
            <w:proofErr w:type="gramStart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 по развитию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CE" w:rsidRPr="006F73FF" w:rsidRDefault="00054FCE" w:rsidP="00054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9072B1" w:rsidRPr="006F73FF" w:rsidRDefault="009072B1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6F73FF" w:rsidRDefault="00B1243C" w:rsidP="00054FCE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6F73FF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6F73FF" w:rsidRDefault="00475543" w:rsidP="009072B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2</w:t>
            </w:r>
          </w:p>
          <w:p w:rsidR="00475543" w:rsidRPr="006F73FF" w:rsidRDefault="006F73FF" w:rsidP="00E128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 2030 году 100%-</w:t>
            </w:r>
            <w:proofErr w:type="spellStart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охвата муниципальных программ (подпрограмм) по развитию МСП финансовыми услугами по поддержке субъектов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6F73FF" w:rsidRDefault="00475543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CE" w:rsidRPr="006F73FF" w:rsidRDefault="00054FCE" w:rsidP="00054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475543" w:rsidRPr="006F73FF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6F73FF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6F73FF" w:rsidRDefault="00475543" w:rsidP="0078638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75543" w:rsidRPr="006F73FF" w:rsidRDefault="006F73FF" w:rsidP="0047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Предоставлена финансовая услуга в </w:t>
            </w:r>
            <w:proofErr w:type="gramStart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программ (подпрограмм) по развитию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6F73FF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7047DD" w:rsidRPr="006F73FF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FF" w:rsidRPr="006F73FF" w:rsidRDefault="006F73FF" w:rsidP="006F7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  <w:p w:rsidR="00475543" w:rsidRPr="006F73FF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6F73FF" w:rsidRDefault="00475543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6F73FF">
              <w:rPr>
                <w:sz w:val="26"/>
                <w:szCs w:val="26"/>
              </w:rPr>
              <w:t xml:space="preserve">Отчет </w:t>
            </w:r>
          </w:p>
        </w:tc>
      </w:tr>
      <w:tr w:rsidR="00D45896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D45896" w:rsidP="0071487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3</w:t>
            </w:r>
          </w:p>
          <w:p w:rsidR="00D45896" w:rsidRPr="006F73FF" w:rsidRDefault="002D4C77" w:rsidP="00714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условий, предусматривающих создание инфраструктуры для осуществления предпринимательской деятельности (электроэнергия, водоотведение, канализация, установка объектов НТО) при разработке проектной документации по застройке туристических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2D4C77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2D4C77" w:rsidP="006F7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2D4C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приоритетных проектов развития территорий и туризма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2D4C77" w:rsidP="004F2A60">
            <w:pPr>
              <w:pStyle w:val="Default"/>
              <w:jc w:val="center"/>
              <w:rPr>
                <w:sz w:val="26"/>
                <w:szCs w:val="26"/>
              </w:rPr>
            </w:pPr>
            <w:r w:rsidRPr="006F73FF">
              <w:rPr>
                <w:sz w:val="26"/>
                <w:szCs w:val="26"/>
              </w:rPr>
              <w:t>Отчет</w:t>
            </w:r>
          </w:p>
        </w:tc>
      </w:tr>
      <w:tr w:rsidR="00D45896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D45896" w:rsidP="0071487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D45896" w:rsidRDefault="00D45896" w:rsidP="007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</w:p>
          <w:p w:rsidR="002D4C77" w:rsidRPr="002D4C77" w:rsidRDefault="002D4C77" w:rsidP="002D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 w:rsidRPr="002D4C7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Проектной документацией по застройке туристических территорий предусмотрено создание инфраструктуры для осуществления предпринимательской деятельности (электроэнергия, водоотведение, канализация, установка объектов НТО)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2D4C77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D45896" w:rsidRPr="006F73FF" w:rsidRDefault="002D4C77" w:rsidP="002D4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2D4C77" w:rsidRDefault="002D4C77" w:rsidP="006F7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2D4C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приоритетных проектов развития территорий и туризма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96" w:rsidRPr="006F73FF" w:rsidRDefault="002D4C77" w:rsidP="004F2A60">
            <w:pPr>
              <w:pStyle w:val="Default"/>
              <w:jc w:val="center"/>
              <w:rPr>
                <w:sz w:val="26"/>
                <w:szCs w:val="26"/>
              </w:rPr>
            </w:pPr>
            <w:r w:rsidRPr="006F73FF">
              <w:rPr>
                <w:sz w:val="26"/>
                <w:szCs w:val="26"/>
              </w:rPr>
              <w:t>Отчет</w:t>
            </w:r>
          </w:p>
        </w:tc>
      </w:tr>
      <w:tr w:rsidR="002D4C7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4</w:t>
            </w:r>
          </w:p>
          <w:p w:rsidR="002D4C77" w:rsidRPr="006F73FF" w:rsidRDefault="003E0B36" w:rsidP="00714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Планирование</w:t>
            </w: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проектно-конкурсной документации размещение инфраструктурных объектов для ведения предпринимательской деятельности, в том числе размещение субъектов МСП в НТО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рамках программы развития малых городов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Default="002D4C77" w:rsidP="0071487B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2D4C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приоритетных проектов развития территорий и туризма Курской области</w:t>
            </w:r>
          </w:p>
          <w:p w:rsidR="00C96E30" w:rsidRPr="006F73FF" w:rsidRDefault="00C96E30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E3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6F73FF">
              <w:rPr>
                <w:sz w:val="26"/>
                <w:szCs w:val="26"/>
              </w:rPr>
              <w:t>Отчет</w:t>
            </w:r>
          </w:p>
        </w:tc>
      </w:tr>
      <w:tr w:rsidR="002D4C7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2D4C77" w:rsidRDefault="002D4C77" w:rsidP="007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</w:p>
          <w:p w:rsidR="002D4C77" w:rsidRPr="002D4C77" w:rsidRDefault="003E0B36" w:rsidP="00714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 w:rsidRPr="003E0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проектно-конкурсной документации программы развития малых городов предусмотрено </w:t>
            </w:r>
            <w:r w:rsidRPr="003E0B36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инфраструктурных</w:t>
            </w:r>
            <w:r w:rsidRPr="00F02E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объектов для ведения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2D4C77" w:rsidRPr="006F73FF" w:rsidRDefault="002D4C77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Default="002D4C77" w:rsidP="0071487B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4C7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2D4C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приоритетных проектов развития территорий и туризма Курской области</w:t>
            </w:r>
          </w:p>
          <w:p w:rsidR="00C96E30" w:rsidRPr="00C96E30" w:rsidRDefault="00C96E30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E3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6F73FF" w:rsidRDefault="002D4C77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6F73FF">
              <w:rPr>
                <w:sz w:val="26"/>
                <w:szCs w:val="26"/>
              </w:rPr>
              <w:t>Отчет</w:t>
            </w:r>
          </w:p>
        </w:tc>
      </w:tr>
      <w:tr w:rsidR="00837D91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C96E30" w:rsidP="00837D9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5</w:t>
            </w:r>
          </w:p>
          <w:p w:rsidR="00837D91" w:rsidRPr="006F73FF" w:rsidRDefault="00C96E30" w:rsidP="0071487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Соф</w:t>
            </w:r>
            <w:r w:rsidR="00837D91">
              <w:rPr>
                <w:bCs/>
                <w:sz w:val="26"/>
                <w:szCs w:val="26"/>
              </w:rPr>
              <w:t xml:space="preserve">инансирование </w:t>
            </w:r>
            <w:r>
              <w:rPr>
                <w:bCs/>
                <w:sz w:val="26"/>
                <w:szCs w:val="26"/>
              </w:rPr>
              <w:t xml:space="preserve">программ </w:t>
            </w:r>
            <w:r w:rsidR="00837D91">
              <w:rPr>
                <w:bCs/>
                <w:sz w:val="26"/>
                <w:szCs w:val="26"/>
              </w:rPr>
              <w:t>муниципальных образований  на поддержку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837D91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Default="00837D91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C96E30" w:rsidRPr="002D4C77" w:rsidRDefault="00C96E30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E3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837D91" w:rsidP="007148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837D91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837D91" w:rsidP="00837D91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F73FF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837D91" w:rsidRPr="00837D91" w:rsidRDefault="00837D91" w:rsidP="0071487B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Осуществлено </w:t>
            </w:r>
            <w:r w:rsidR="00C96E30">
              <w:rPr>
                <w:rFonts w:eastAsia="Times New Roman"/>
                <w:sz w:val="26"/>
                <w:szCs w:val="26"/>
              </w:rPr>
              <w:t>со</w:t>
            </w:r>
            <w:r>
              <w:rPr>
                <w:rFonts w:eastAsia="Times New Roman"/>
                <w:sz w:val="26"/>
                <w:szCs w:val="26"/>
              </w:rPr>
              <w:t xml:space="preserve">финансирование </w:t>
            </w:r>
            <w:r>
              <w:rPr>
                <w:bCs/>
                <w:sz w:val="26"/>
                <w:szCs w:val="26"/>
              </w:rPr>
              <w:t xml:space="preserve">муниципальных </w:t>
            </w:r>
            <w:r w:rsidR="00C96E30">
              <w:rPr>
                <w:bCs/>
                <w:sz w:val="26"/>
                <w:szCs w:val="26"/>
              </w:rPr>
              <w:t xml:space="preserve">программ </w:t>
            </w:r>
            <w:r>
              <w:rPr>
                <w:bCs/>
                <w:sz w:val="26"/>
                <w:szCs w:val="26"/>
              </w:rPr>
              <w:t>образований  на поддержку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837D91" w:rsidRPr="006F73FF" w:rsidRDefault="00837D91" w:rsidP="0083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Default="00837D91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837D91" w:rsidRPr="002D4C77" w:rsidRDefault="00C96E30" w:rsidP="00714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6E3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районов и городских округов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1" w:rsidRPr="006F73FF" w:rsidRDefault="00837D91" w:rsidP="0071487B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89" w:rsidRDefault="00786389" w:rsidP="00E11CBC">
      <w:pPr>
        <w:spacing w:after="0" w:line="240" w:lineRule="auto"/>
      </w:pPr>
      <w:r>
        <w:separator/>
      </w:r>
    </w:p>
  </w:endnote>
  <w:end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89" w:rsidRDefault="00786389" w:rsidP="00E11CBC">
      <w:pPr>
        <w:spacing w:after="0" w:line="240" w:lineRule="auto"/>
      </w:pPr>
      <w:r>
        <w:separator/>
      </w:r>
    </w:p>
  </w:footnote>
  <w:foot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footnote>
  <w:footnote w:id="1">
    <w:p w:rsidR="00786389" w:rsidRPr="00526699" w:rsidRDefault="00786389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786389" w:rsidRPr="00526699" w:rsidRDefault="00786389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 xml:space="preserve">Указывается тип мероприятия (результата) в </w:t>
      </w:r>
      <w:proofErr w:type="gramStart"/>
      <w:r w:rsidRPr="00526699">
        <w:rPr>
          <w:color w:val="FFFFFF" w:themeColor="background1"/>
          <w:szCs w:val="18"/>
        </w:rPr>
        <w:t>соответствии</w:t>
      </w:r>
      <w:proofErr w:type="gramEnd"/>
      <w:r w:rsidRPr="00526699">
        <w:rPr>
          <w:color w:val="FFFFFF" w:themeColor="background1"/>
          <w:szCs w:val="18"/>
        </w:rPr>
        <w:t xml:space="preserve">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786389" w:rsidRPr="009F7DD3" w:rsidRDefault="00786389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CBC"/>
    <w:rsid w:val="000058B9"/>
    <w:rsid w:val="00016DE3"/>
    <w:rsid w:val="00054FCE"/>
    <w:rsid w:val="0006060C"/>
    <w:rsid w:val="0007638C"/>
    <w:rsid w:val="00082178"/>
    <w:rsid w:val="000A5E2F"/>
    <w:rsid w:val="000B06A0"/>
    <w:rsid w:val="000B18F1"/>
    <w:rsid w:val="000C0D7D"/>
    <w:rsid w:val="000C3E0A"/>
    <w:rsid w:val="000F09FD"/>
    <w:rsid w:val="0010196B"/>
    <w:rsid w:val="00106220"/>
    <w:rsid w:val="001203ED"/>
    <w:rsid w:val="001225DB"/>
    <w:rsid w:val="0018336F"/>
    <w:rsid w:val="001A152A"/>
    <w:rsid w:val="001B381B"/>
    <w:rsid w:val="001B4005"/>
    <w:rsid w:val="001B4142"/>
    <w:rsid w:val="002056D0"/>
    <w:rsid w:val="00210F55"/>
    <w:rsid w:val="00223093"/>
    <w:rsid w:val="00240AE6"/>
    <w:rsid w:val="00266992"/>
    <w:rsid w:val="002751A6"/>
    <w:rsid w:val="002B0F10"/>
    <w:rsid w:val="002D2B69"/>
    <w:rsid w:val="002D4C77"/>
    <w:rsid w:val="002F0B12"/>
    <w:rsid w:val="002F6453"/>
    <w:rsid w:val="002F7FCB"/>
    <w:rsid w:val="0030268F"/>
    <w:rsid w:val="00305707"/>
    <w:rsid w:val="003267BF"/>
    <w:rsid w:val="00336910"/>
    <w:rsid w:val="0034075B"/>
    <w:rsid w:val="0036615F"/>
    <w:rsid w:val="00366263"/>
    <w:rsid w:val="0037227A"/>
    <w:rsid w:val="003832EB"/>
    <w:rsid w:val="00386645"/>
    <w:rsid w:val="003A7C89"/>
    <w:rsid w:val="003B19D4"/>
    <w:rsid w:val="003B6285"/>
    <w:rsid w:val="003C618C"/>
    <w:rsid w:val="003E0B36"/>
    <w:rsid w:val="003F70C0"/>
    <w:rsid w:val="00417530"/>
    <w:rsid w:val="00434333"/>
    <w:rsid w:val="00443B8A"/>
    <w:rsid w:val="00444519"/>
    <w:rsid w:val="0046031E"/>
    <w:rsid w:val="00474709"/>
    <w:rsid w:val="00475543"/>
    <w:rsid w:val="0048657D"/>
    <w:rsid w:val="004C0AD2"/>
    <w:rsid w:val="004D7889"/>
    <w:rsid w:val="004F2A60"/>
    <w:rsid w:val="005020F1"/>
    <w:rsid w:val="00526699"/>
    <w:rsid w:val="0056381C"/>
    <w:rsid w:val="0057744E"/>
    <w:rsid w:val="005A7234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C66C2"/>
    <w:rsid w:val="006D0095"/>
    <w:rsid w:val="006F73FF"/>
    <w:rsid w:val="007047DD"/>
    <w:rsid w:val="0074771C"/>
    <w:rsid w:val="00755620"/>
    <w:rsid w:val="00761B7B"/>
    <w:rsid w:val="00777F41"/>
    <w:rsid w:val="00786389"/>
    <w:rsid w:val="007A4BF9"/>
    <w:rsid w:val="007A4EBE"/>
    <w:rsid w:val="007B6BAC"/>
    <w:rsid w:val="007C4C42"/>
    <w:rsid w:val="007D0191"/>
    <w:rsid w:val="007D52A9"/>
    <w:rsid w:val="007D7B3D"/>
    <w:rsid w:val="007E08EC"/>
    <w:rsid w:val="007E5906"/>
    <w:rsid w:val="007F40A3"/>
    <w:rsid w:val="00801C98"/>
    <w:rsid w:val="00830912"/>
    <w:rsid w:val="00832CA8"/>
    <w:rsid w:val="00837D91"/>
    <w:rsid w:val="008478F0"/>
    <w:rsid w:val="008555A4"/>
    <w:rsid w:val="00866734"/>
    <w:rsid w:val="00881307"/>
    <w:rsid w:val="00887B5D"/>
    <w:rsid w:val="008A1E71"/>
    <w:rsid w:val="008B1B0E"/>
    <w:rsid w:val="008B3CCE"/>
    <w:rsid w:val="00903E49"/>
    <w:rsid w:val="009071F7"/>
    <w:rsid w:val="009072B1"/>
    <w:rsid w:val="00912B13"/>
    <w:rsid w:val="00916C94"/>
    <w:rsid w:val="009255C4"/>
    <w:rsid w:val="00941E2A"/>
    <w:rsid w:val="0096415A"/>
    <w:rsid w:val="009667BC"/>
    <w:rsid w:val="00973B1A"/>
    <w:rsid w:val="009857D2"/>
    <w:rsid w:val="009906E7"/>
    <w:rsid w:val="009D7837"/>
    <w:rsid w:val="009E58D2"/>
    <w:rsid w:val="009E69E3"/>
    <w:rsid w:val="009F7DD3"/>
    <w:rsid w:val="00A0283E"/>
    <w:rsid w:val="00A240EB"/>
    <w:rsid w:val="00A46591"/>
    <w:rsid w:val="00A716D8"/>
    <w:rsid w:val="00A90093"/>
    <w:rsid w:val="00A91B2A"/>
    <w:rsid w:val="00AA7A05"/>
    <w:rsid w:val="00AB0814"/>
    <w:rsid w:val="00AC0911"/>
    <w:rsid w:val="00AE2287"/>
    <w:rsid w:val="00B1243C"/>
    <w:rsid w:val="00B21741"/>
    <w:rsid w:val="00B31D12"/>
    <w:rsid w:val="00B548FB"/>
    <w:rsid w:val="00B6033E"/>
    <w:rsid w:val="00B765A5"/>
    <w:rsid w:val="00BC1D91"/>
    <w:rsid w:val="00BC3071"/>
    <w:rsid w:val="00C2025C"/>
    <w:rsid w:val="00C4242B"/>
    <w:rsid w:val="00C424D6"/>
    <w:rsid w:val="00C82291"/>
    <w:rsid w:val="00C877B0"/>
    <w:rsid w:val="00C95473"/>
    <w:rsid w:val="00C96E30"/>
    <w:rsid w:val="00C9774D"/>
    <w:rsid w:val="00CA664B"/>
    <w:rsid w:val="00CB6997"/>
    <w:rsid w:val="00D266ED"/>
    <w:rsid w:val="00D43F40"/>
    <w:rsid w:val="00D45896"/>
    <w:rsid w:val="00D5472A"/>
    <w:rsid w:val="00D57E81"/>
    <w:rsid w:val="00D82F21"/>
    <w:rsid w:val="00D8524C"/>
    <w:rsid w:val="00DA38CE"/>
    <w:rsid w:val="00DB5363"/>
    <w:rsid w:val="00DD1C60"/>
    <w:rsid w:val="00DD4EDC"/>
    <w:rsid w:val="00DF1AAC"/>
    <w:rsid w:val="00E00CEC"/>
    <w:rsid w:val="00E11CBC"/>
    <w:rsid w:val="00E128C3"/>
    <w:rsid w:val="00E2673F"/>
    <w:rsid w:val="00E7223D"/>
    <w:rsid w:val="00E96AEB"/>
    <w:rsid w:val="00E9712D"/>
    <w:rsid w:val="00E97562"/>
    <w:rsid w:val="00EC16E3"/>
    <w:rsid w:val="00EC609F"/>
    <w:rsid w:val="00EE2CE5"/>
    <w:rsid w:val="00F02E20"/>
    <w:rsid w:val="00F40DC1"/>
    <w:rsid w:val="00F65C63"/>
    <w:rsid w:val="00FA2D33"/>
    <w:rsid w:val="00FA6692"/>
    <w:rsid w:val="00FB502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17</cp:revision>
  <dcterms:created xsi:type="dcterms:W3CDTF">2023-09-20T09:53:00Z</dcterms:created>
  <dcterms:modified xsi:type="dcterms:W3CDTF">2023-10-13T07:19:00Z</dcterms:modified>
</cp:coreProperties>
</file>