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1B27B4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5112E6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Администрации Курской области от 27.09.2013 N 682-па</w:t>
            </w:r>
            <w:r>
              <w:rPr>
                <w:sz w:val="48"/>
                <w:szCs w:val="48"/>
              </w:rPr>
              <w:br/>
              <w:t>(ред. от 27.02.2024)</w:t>
            </w:r>
            <w:r>
              <w:rPr>
                <w:sz w:val="48"/>
                <w:szCs w:val="48"/>
              </w:rPr>
              <w:br/>
              <w:t>"Об утверждении государственной программы Курской области "Развитие лесн</w:t>
            </w:r>
            <w:r>
              <w:rPr>
                <w:sz w:val="48"/>
                <w:szCs w:val="48"/>
              </w:rPr>
              <w:t>ого хозяйства в Курской области"</w:t>
            </w:r>
            <w:r>
              <w:rPr>
                <w:sz w:val="48"/>
                <w:szCs w:val="48"/>
              </w:rPr>
              <w:br/>
              <w:t>(вместе с "Перечнем утративших силу постановлений Администрации Курской области")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5112E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</w:t>
            </w:r>
            <w:r>
              <w:rPr>
                <w:sz w:val="28"/>
                <w:szCs w:val="28"/>
              </w:rPr>
              <w:t xml:space="preserve"> сохранения: 05.04.2024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5112E6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5112E6">
      <w:pPr>
        <w:pStyle w:val="ConsPlusNormal"/>
        <w:outlineLvl w:val="0"/>
      </w:pPr>
    </w:p>
    <w:p w:rsidR="00000000" w:rsidRDefault="005112E6">
      <w:pPr>
        <w:pStyle w:val="ConsPlusTitle"/>
        <w:jc w:val="center"/>
        <w:outlineLvl w:val="0"/>
      </w:pPr>
      <w:r>
        <w:t>АДМИНИСТРАЦИЯ КУРСКОЙ ОБЛАСТИ</w:t>
      </w:r>
    </w:p>
    <w:p w:rsidR="00000000" w:rsidRDefault="005112E6">
      <w:pPr>
        <w:pStyle w:val="ConsPlusTitle"/>
        <w:jc w:val="center"/>
      </w:pPr>
    </w:p>
    <w:p w:rsidR="00000000" w:rsidRDefault="005112E6">
      <w:pPr>
        <w:pStyle w:val="ConsPlusTitle"/>
        <w:jc w:val="center"/>
      </w:pPr>
      <w:r>
        <w:t>ПОСТАНОВЛЕНИЕ</w:t>
      </w:r>
    </w:p>
    <w:p w:rsidR="00000000" w:rsidRDefault="005112E6">
      <w:pPr>
        <w:pStyle w:val="ConsPlusTitle"/>
        <w:jc w:val="center"/>
      </w:pPr>
      <w:r>
        <w:t>от 27 сентября 2013 г. N 682-па</w:t>
      </w:r>
    </w:p>
    <w:p w:rsidR="00000000" w:rsidRDefault="005112E6">
      <w:pPr>
        <w:pStyle w:val="ConsPlusTitle"/>
        <w:jc w:val="center"/>
      </w:pPr>
    </w:p>
    <w:p w:rsidR="00000000" w:rsidRDefault="005112E6">
      <w:pPr>
        <w:pStyle w:val="ConsPlusTitle"/>
        <w:jc w:val="center"/>
      </w:pPr>
      <w:r>
        <w:t>ОБ УТВЕРЖДЕНИИ ГОСУДАРСТВЕННОЙ ПРОГРАММЫ КУРСКОЙ ОБЛАСТИ</w:t>
      </w:r>
    </w:p>
    <w:p w:rsidR="00000000" w:rsidRDefault="005112E6">
      <w:pPr>
        <w:pStyle w:val="ConsPlusTitle"/>
        <w:jc w:val="center"/>
      </w:pPr>
      <w:r>
        <w:t>"РАЗВИТИЕ ЛЕСНОГО ХОЗЯЙСТВА В КУРСКОЙ ОБЛАСТИ"</w:t>
      </w:r>
    </w:p>
    <w:p w:rsidR="00000000" w:rsidRDefault="005112E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112E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112E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Курско</w:t>
            </w:r>
            <w:r>
              <w:rPr>
                <w:color w:val="392C69"/>
              </w:rPr>
              <w:t>й области</w:t>
            </w:r>
          </w:p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02.04.2014 </w:t>
            </w:r>
            <w:hyperlink r:id="rId9" w:history="1">
              <w:r>
                <w:rPr>
                  <w:color w:val="0000FF"/>
                </w:rPr>
                <w:t>N 202-па</w:t>
              </w:r>
            </w:hyperlink>
            <w:r>
              <w:rPr>
                <w:color w:val="392C69"/>
              </w:rPr>
              <w:t xml:space="preserve">, от 01.09.2014 </w:t>
            </w:r>
            <w:hyperlink r:id="rId10" w:history="1">
              <w:r>
                <w:rPr>
                  <w:color w:val="0000FF"/>
                </w:rPr>
                <w:t>N 557-па</w:t>
              </w:r>
            </w:hyperlink>
            <w:r>
              <w:rPr>
                <w:color w:val="392C69"/>
              </w:rPr>
              <w:t xml:space="preserve">, от 25.12.2014 </w:t>
            </w:r>
            <w:hyperlink r:id="rId11" w:history="1">
              <w:r>
                <w:rPr>
                  <w:color w:val="0000FF"/>
                </w:rPr>
                <w:t>N 869-па</w:t>
              </w:r>
            </w:hyperlink>
            <w:r>
              <w:rPr>
                <w:color w:val="392C69"/>
              </w:rPr>
              <w:t>,</w:t>
            </w:r>
          </w:p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19.02.2015 </w:t>
            </w:r>
            <w:hyperlink r:id="rId12" w:history="1">
              <w:r>
                <w:rPr>
                  <w:color w:val="0000FF"/>
                </w:rPr>
                <w:t>N 83-па</w:t>
              </w:r>
            </w:hyperlink>
            <w:r>
              <w:rPr>
                <w:color w:val="392C69"/>
              </w:rPr>
              <w:t xml:space="preserve">, от 12.08.2015 </w:t>
            </w:r>
            <w:hyperlink r:id="rId13" w:history="1">
              <w:r>
                <w:rPr>
                  <w:color w:val="0000FF"/>
                </w:rPr>
                <w:t>N 514-па</w:t>
              </w:r>
            </w:hyperlink>
            <w:r>
              <w:rPr>
                <w:color w:val="392C69"/>
              </w:rPr>
              <w:t xml:space="preserve">, от 29.10.2015 </w:t>
            </w:r>
            <w:hyperlink r:id="rId14" w:history="1">
              <w:r>
                <w:rPr>
                  <w:color w:val="0000FF"/>
                </w:rPr>
                <w:t>N 724-па</w:t>
              </w:r>
            </w:hyperlink>
            <w:r>
              <w:rPr>
                <w:color w:val="392C69"/>
              </w:rPr>
              <w:t>,</w:t>
            </w:r>
          </w:p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31.12.2015 </w:t>
            </w:r>
            <w:hyperlink r:id="rId15" w:history="1">
              <w:r>
                <w:rPr>
                  <w:color w:val="0000FF"/>
                </w:rPr>
                <w:t>N 977-па</w:t>
              </w:r>
            </w:hyperlink>
            <w:r>
              <w:rPr>
                <w:color w:val="392C69"/>
              </w:rPr>
              <w:t xml:space="preserve">, от 22.04.2016 </w:t>
            </w:r>
            <w:hyperlink r:id="rId16" w:history="1">
              <w:r>
                <w:rPr>
                  <w:color w:val="0000FF"/>
                </w:rPr>
                <w:t>N 239-па</w:t>
              </w:r>
            </w:hyperlink>
            <w:r>
              <w:rPr>
                <w:color w:val="392C69"/>
              </w:rPr>
              <w:t xml:space="preserve">, от 04.07.2016 </w:t>
            </w:r>
            <w:hyperlink r:id="rId17" w:history="1">
              <w:r>
                <w:rPr>
                  <w:color w:val="0000FF"/>
                </w:rPr>
                <w:t>N 475-па</w:t>
              </w:r>
            </w:hyperlink>
            <w:r>
              <w:rPr>
                <w:color w:val="392C69"/>
              </w:rPr>
              <w:t>,</w:t>
            </w:r>
          </w:p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29.09.2016 </w:t>
            </w:r>
            <w:hyperlink r:id="rId18" w:history="1">
              <w:r>
                <w:rPr>
                  <w:color w:val="0000FF"/>
                </w:rPr>
                <w:t>N 743-па</w:t>
              </w:r>
            </w:hyperlink>
            <w:r>
              <w:rPr>
                <w:color w:val="392C69"/>
              </w:rPr>
              <w:t xml:space="preserve">, от 14.11.2016 </w:t>
            </w:r>
            <w:hyperlink r:id="rId19" w:history="1">
              <w:r>
                <w:rPr>
                  <w:color w:val="0000FF"/>
                </w:rPr>
                <w:t>N 855-па</w:t>
              </w:r>
            </w:hyperlink>
            <w:r>
              <w:rPr>
                <w:color w:val="392C69"/>
              </w:rPr>
              <w:t xml:space="preserve"> (ред. 16.12.2016),</w:t>
            </w:r>
          </w:p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16.12.2016 </w:t>
            </w:r>
            <w:hyperlink r:id="rId20" w:history="1">
              <w:r>
                <w:rPr>
                  <w:color w:val="0000FF"/>
                </w:rPr>
                <w:t>N 969-па</w:t>
              </w:r>
            </w:hyperlink>
            <w:r>
              <w:rPr>
                <w:color w:val="392C69"/>
              </w:rPr>
              <w:t xml:space="preserve">, от 29.12.2016 </w:t>
            </w:r>
            <w:hyperlink r:id="rId21" w:history="1">
              <w:r>
                <w:rPr>
                  <w:color w:val="0000FF"/>
                </w:rPr>
                <w:t>N 1024-па</w:t>
              </w:r>
            </w:hyperlink>
            <w:r>
              <w:rPr>
                <w:color w:val="392C69"/>
              </w:rPr>
              <w:t xml:space="preserve">, от 20.02.2017 </w:t>
            </w:r>
            <w:hyperlink r:id="rId22" w:history="1">
              <w:r>
                <w:rPr>
                  <w:color w:val="0000FF"/>
                </w:rPr>
                <w:t>N 125-па</w:t>
              </w:r>
            </w:hyperlink>
            <w:r>
              <w:rPr>
                <w:color w:val="392C69"/>
              </w:rPr>
              <w:t>,</w:t>
            </w:r>
          </w:p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24.07.2017 </w:t>
            </w:r>
            <w:hyperlink r:id="rId23" w:history="1">
              <w:r>
                <w:rPr>
                  <w:color w:val="0000FF"/>
                </w:rPr>
                <w:t>N 602-па</w:t>
              </w:r>
            </w:hyperlink>
            <w:r>
              <w:rPr>
                <w:color w:val="392C69"/>
              </w:rPr>
              <w:t xml:space="preserve">, от 30.10.2017 </w:t>
            </w:r>
            <w:hyperlink r:id="rId24" w:history="1">
              <w:r>
                <w:rPr>
                  <w:color w:val="0000FF"/>
                </w:rPr>
                <w:t>N 837-па</w:t>
              </w:r>
            </w:hyperlink>
            <w:r>
              <w:rPr>
                <w:color w:val="392C69"/>
              </w:rPr>
              <w:t xml:space="preserve">, от 25.12.2017 </w:t>
            </w:r>
            <w:hyperlink r:id="rId25" w:history="1">
              <w:r>
                <w:rPr>
                  <w:color w:val="0000FF"/>
                </w:rPr>
                <w:t>N 1081-па</w:t>
              </w:r>
            </w:hyperlink>
            <w:r>
              <w:rPr>
                <w:color w:val="392C69"/>
              </w:rPr>
              <w:t>,</w:t>
            </w:r>
          </w:p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26.02.2018 </w:t>
            </w:r>
            <w:hyperlink r:id="rId26" w:history="1">
              <w:r>
                <w:rPr>
                  <w:color w:val="0000FF"/>
                </w:rPr>
                <w:t>N 143-па</w:t>
              </w:r>
            </w:hyperlink>
            <w:r>
              <w:rPr>
                <w:color w:val="392C69"/>
              </w:rPr>
              <w:t xml:space="preserve">, от 09.08.2018 </w:t>
            </w:r>
            <w:hyperlink r:id="rId27" w:history="1">
              <w:r>
                <w:rPr>
                  <w:color w:val="0000FF"/>
                </w:rPr>
                <w:t>N 642-па</w:t>
              </w:r>
            </w:hyperlink>
            <w:r>
              <w:rPr>
                <w:color w:val="392C69"/>
              </w:rPr>
              <w:t xml:space="preserve">, от 28.08.2018 </w:t>
            </w:r>
            <w:hyperlink r:id="rId28" w:history="1">
              <w:r>
                <w:rPr>
                  <w:color w:val="0000FF"/>
                </w:rPr>
                <w:t>N 693-па</w:t>
              </w:r>
            </w:hyperlink>
            <w:r>
              <w:rPr>
                <w:color w:val="392C69"/>
              </w:rPr>
              <w:t>,</w:t>
            </w:r>
          </w:p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03.12.2018 </w:t>
            </w:r>
            <w:hyperlink r:id="rId29" w:history="1">
              <w:r>
                <w:rPr>
                  <w:color w:val="0000FF"/>
                </w:rPr>
                <w:t>N 966-па</w:t>
              </w:r>
            </w:hyperlink>
            <w:r>
              <w:rPr>
                <w:color w:val="392C69"/>
              </w:rPr>
              <w:t xml:space="preserve">, от 28.12.2018 </w:t>
            </w:r>
            <w:hyperlink r:id="rId30" w:history="1">
              <w:r>
                <w:rPr>
                  <w:color w:val="0000FF"/>
                </w:rPr>
                <w:t>N 1085-па</w:t>
              </w:r>
            </w:hyperlink>
            <w:r>
              <w:rPr>
                <w:color w:val="392C69"/>
              </w:rPr>
              <w:t xml:space="preserve">, от 04.03.2019 </w:t>
            </w:r>
            <w:hyperlink r:id="rId31" w:history="1">
              <w:r>
                <w:rPr>
                  <w:color w:val="0000FF"/>
                </w:rPr>
                <w:t>N 169-па</w:t>
              </w:r>
            </w:hyperlink>
            <w:r>
              <w:rPr>
                <w:color w:val="392C69"/>
              </w:rPr>
              <w:t>,</w:t>
            </w:r>
          </w:p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05.06.2019 </w:t>
            </w:r>
            <w:hyperlink r:id="rId32" w:history="1">
              <w:r>
                <w:rPr>
                  <w:color w:val="0000FF"/>
                </w:rPr>
                <w:t>N 503-па</w:t>
              </w:r>
            </w:hyperlink>
            <w:r>
              <w:rPr>
                <w:color w:val="392C69"/>
              </w:rPr>
              <w:t xml:space="preserve">, от 09.09.2019 </w:t>
            </w:r>
            <w:hyperlink r:id="rId33" w:history="1">
              <w:r>
                <w:rPr>
                  <w:color w:val="0000FF"/>
                </w:rPr>
                <w:t>N 871-па</w:t>
              </w:r>
            </w:hyperlink>
            <w:r>
              <w:rPr>
                <w:color w:val="392C69"/>
              </w:rPr>
              <w:t xml:space="preserve">, от 05.11.2019 </w:t>
            </w:r>
            <w:hyperlink r:id="rId34" w:history="1">
              <w:r>
                <w:rPr>
                  <w:color w:val="0000FF"/>
                </w:rPr>
                <w:t>N 1058-па</w:t>
              </w:r>
            </w:hyperlink>
            <w:r>
              <w:rPr>
                <w:color w:val="392C69"/>
              </w:rPr>
              <w:t>,</w:t>
            </w:r>
          </w:p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25.12.2019 </w:t>
            </w:r>
            <w:hyperlink r:id="rId35" w:history="1">
              <w:r>
                <w:rPr>
                  <w:color w:val="0000FF"/>
                </w:rPr>
                <w:t>N 1358-па</w:t>
              </w:r>
            </w:hyperlink>
            <w:r>
              <w:rPr>
                <w:color w:val="392C69"/>
              </w:rPr>
              <w:t xml:space="preserve">, от 02.03.2020 </w:t>
            </w:r>
            <w:hyperlink r:id="rId36" w:history="1">
              <w:r>
                <w:rPr>
                  <w:color w:val="0000FF"/>
                </w:rPr>
                <w:t>N 182-па</w:t>
              </w:r>
            </w:hyperlink>
            <w:r>
              <w:rPr>
                <w:color w:val="392C69"/>
              </w:rPr>
              <w:t xml:space="preserve">, от 01.09.2020 </w:t>
            </w:r>
            <w:hyperlink r:id="rId37" w:history="1">
              <w:r>
                <w:rPr>
                  <w:color w:val="0000FF"/>
                </w:rPr>
                <w:t>N 893-па</w:t>
              </w:r>
            </w:hyperlink>
            <w:r>
              <w:rPr>
                <w:color w:val="392C69"/>
              </w:rPr>
              <w:t>,</w:t>
            </w:r>
          </w:p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04.12.2020 </w:t>
            </w:r>
            <w:hyperlink r:id="rId38" w:history="1">
              <w:r>
                <w:rPr>
                  <w:color w:val="0000FF"/>
                </w:rPr>
                <w:t>N 1230-па</w:t>
              </w:r>
            </w:hyperlink>
            <w:r>
              <w:rPr>
                <w:color w:val="392C69"/>
              </w:rPr>
              <w:t xml:space="preserve">, от 30.12.2020 </w:t>
            </w:r>
            <w:hyperlink r:id="rId39" w:history="1">
              <w:r>
                <w:rPr>
                  <w:color w:val="0000FF"/>
                </w:rPr>
                <w:t>N 1447-па</w:t>
              </w:r>
            </w:hyperlink>
            <w:r>
              <w:rPr>
                <w:color w:val="392C69"/>
              </w:rPr>
              <w:t xml:space="preserve">, от 15.03.2021 </w:t>
            </w:r>
            <w:hyperlink r:id="rId40" w:history="1">
              <w:r>
                <w:rPr>
                  <w:color w:val="0000FF"/>
                </w:rPr>
                <w:t>N 209-па</w:t>
              </w:r>
            </w:hyperlink>
            <w:r>
              <w:rPr>
                <w:color w:val="392C69"/>
              </w:rPr>
              <w:t>,</w:t>
            </w:r>
          </w:p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14.05.2021 </w:t>
            </w:r>
            <w:hyperlink r:id="rId41" w:history="1">
              <w:r>
                <w:rPr>
                  <w:color w:val="0000FF"/>
                </w:rPr>
                <w:t>N 500-па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20.07.2021 </w:t>
            </w:r>
            <w:hyperlink r:id="rId42" w:history="1">
              <w:r>
                <w:rPr>
                  <w:color w:val="0000FF"/>
                </w:rPr>
                <w:t>N 757-па</w:t>
              </w:r>
            </w:hyperlink>
            <w:r>
              <w:rPr>
                <w:color w:val="392C69"/>
              </w:rPr>
              <w:t xml:space="preserve">, от 11.10.2021 </w:t>
            </w:r>
            <w:hyperlink r:id="rId43" w:history="1">
              <w:r>
                <w:rPr>
                  <w:color w:val="0000FF"/>
                </w:rPr>
                <w:t>N 1071-па</w:t>
              </w:r>
            </w:hyperlink>
            <w:r>
              <w:rPr>
                <w:color w:val="392C69"/>
              </w:rPr>
              <w:t>,</w:t>
            </w:r>
          </w:p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28.12.2021 </w:t>
            </w:r>
            <w:hyperlink r:id="rId44" w:history="1">
              <w:r>
                <w:rPr>
                  <w:color w:val="0000FF"/>
                </w:rPr>
                <w:t>N 1496-па</w:t>
              </w:r>
            </w:hyperlink>
            <w:r>
              <w:rPr>
                <w:color w:val="392C69"/>
              </w:rPr>
              <w:t xml:space="preserve">, от 25.02.2022 </w:t>
            </w:r>
            <w:hyperlink r:id="rId45" w:history="1">
              <w:r>
                <w:rPr>
                  <w:color w:val="0000FF"/>
                </w:rPr>
                <w:t>N 167-па</w:t>
              </w:r>
            </w:hyperlink>
            <w:r>
              <w:rPr>
                <w:color w:val="392C69"/>
              </w:rPr>
              <w:t xml:space="preserve">, от 24.08.2022 </w:t>
            </w:r>
            <w:hyperlink r:id="rId46" w:history="1">
              <w:r>
                <w:rPr>
                  <w:color w:val="0000FF"/>
                </w:rPr>
                <w:t>N 940-па</w:t>
              </w:r>
            </w:hyperlink>
            <w:r>
              <w:rPr>
                <w:color w:val="392C69"/>
              </w:rPr>
              <w:t>,</w:t>
            </w:r>
          </w:p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28.10.2022 </w:t>
            </w:r>
            <w:hyperlink r:id="rId47" w:history="1">
              <w:r>
                <w:rPr>
                  <w:color w:val="0000FF"/>
                </w:rPr>
                <w:t>N 1201-па</w:t>
              </w:r>
            </w:hyperlink>
            <w:r>
              <w:rPr>
                <w:color w:val="392C69"/>
              </w:rPr>
              <w:t xml:space="preserve">, от 28.12.2022 </w:t>
            </w:r>
            <w:hyperlink r:id="rId48" w:history="1">
              <w:r>
                <w:rPr>
                  <w:color w:val="0000FF"/>
                </w:rPr>
                <w:t>N 1629-па</w:t>
              </w:r>
            </w:hyperlink>
            <w:r>
              <w:rPr>
                <w:color w:val="392C69"/>
              </w:rPr>
              <w:t>,</w:t>
            </w:r>
          </w:p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постановлений Правительства Курской области</w:t>
            </w:r>
          </w:p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02.03.2023 </w:t>
            </w:r>
            <w:hyperlink r:id="rId49" w:history="1">
              <w:r>
                <w:rPr>
                  <w:color w:val="0000FF"/>
                </w:rPr>
                <w:t>N 248-пп</w:t>
              </w:r>
            </w:hyperlink>
            <w:r>
              <w:rPr>
                <w:color w:val="392C69"/>
              </w:rPr>
              <w:t xml:space="preserve">, от 29.09.2023 </w:t>
            </w:r>
            <w:hyperlink r:id="rId50" w:history="1">
              <w:r>
                <w:rPr>
                  <w:color w:val="0000FF"/>
                </w:rPr>
                <w:t>N 1047-пп</w:t>
              </w:r>
            </w:hyperlink>
            <w:r>
              <w:rPr>
                <w:color w:val="392C69"/>
              </w:rPr>
              <w:t xml:space="preserve">, от 28.12.2023 </w:t>
            </w:r>
            <w:hyperlink r:id="rId51" w:history="1">
              <w:r>
                <w:rPr>
                  <w:color w:val="0000FF"/>
                </w:rPr>
                <w:t>N 1442-пп</w:t>
              </w:r>
            </w:hyperlink>
            <w:r>
              <w:rPr>
                <w:color w:val="392C69"/>
              </w:rPr>
              <w:t>,</w:t>
            </w:r>
          </w:p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27.02.2024 </w:t>
            </w:r>
            <w:hyperlink r:id="rId52" w:history="1">
              <w:r>
                <w:rPr>
                  <w:color w:val="0000FF"/>
                </w:rPr>
                <w:t>N 140-пп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5112E6">
      <w:pPr>
        <w:pStyle w:val="ConsPlusNormal"/>
      </w:pPr>
    </w:p>
    <w:p w:rsidR="00000000" w:rsidRDefault="005112E6">
      <w:pPr>
        <w:pStyle w:val="ConsPlusNormal"/>
        <w:ind w:firstLine="540"/>
        <w:jc w:val="both"/>
      </w:pPr>
      <w:r>
        <w:t xml:space="preserve">В соответствии со </w:t>
      </w:r>
      <w:hyperlink r:id="rId53" w:history="1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 Администрация Курской области постановляет: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 xml:space="preserve">1. Утвердить прилагаемую государственную </w:t>
      </w:r>
      <w:hyperlink w:anchor="Par49" w:tooltip="ГОСУДАРСТВЕННАЯ ПРОГРАММА КУРСКОЙ ОБЛАСТИ" w:history="1">
        <w:r>
          <w:rPr>
            <w:color w:val="0000FF"/>
          </w:rPr>
          <w:t>программу</w:t>
        </w:r>
      </w:hyperlink>
      <w:r>
        <w:t xml:space="preserve"> Курской области "Развитие лесного хозяйства в Курской области".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2. Комитету лесного хозяйства Курской области (В.Д. Выводцев):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разместит</w:t>
      </w:r>
      <w:r>
        <w:t xml:space="preserve">ь утвержденную государственную </w:t>
      </w:r>
      <w:hyperlink w:anchor="Par49" w:tooltip="ГОСУДАРСТВЕННАЯ ПРОГРАММА КУРСКОЙ ОБЛАСТИ" w:history="1">
        <w:r>
          <w:rPr>
            <w:color w:val="0000FF"/>
          </w:rPr>
          <w:t>программу</w:t>
        </w:r>
      </w:hyperlink>
      <w:r>
        <w:t xml:space="preserve"> Курской области "Развитие ле</w:t>
      </w:r>
      <w:r>
        <w:t>сного хозяйства в Курской области" на своем официальном сайте, а также на официальном сайте Администрации Курской области (подраздел "Государственные программы Курской области" раздела "Документы") в информационно-телекоммуникационной сети "Интернет" в 2-н</w:t>
      </w:r>
      <w:r>
        <w:t>едельный срок со дня официального опубликования настоящего постановления;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 xml:space="preserve">в случае отклонения объемов финансирования за счет средств областного бюджета, определенных утвержденной государственной </w:t>
      </w:r>
      <w:hyperlink w:anchor="Par49" w:tooltip="ГОСУДАРСТВЕННАЯ ПРОГРАММА КУРСКОЙ ОБЛАСТИ" w:history="1">
        <w:r>
          <w:rPr>
            <w:color w:val="0000FF"/>
          </w:rPr>
          <w:t>программой</w:t>
        </w:r>
      </w:hyperlink>
      <w:r>
        <w:t xml:space="preserve"> Курской области, от объемов финансирования государственной программы, утвержденных </w:t>
      </w:r>
      <w:hyperlink r:id="rId54" w:history="1">
        <w:r>
          <w:rPr>
            <w:color w:val="0000FF"/>
          </w:rPr>
          <w:t>Законом</w:t>
        </w:r>
      </w:hyperlink>
      <w:r>
        <w:t xml:space="preserve"> Курской области "Об областном бюджете на 2014 год и пл</w:t>
      </w:r>
      <w:r>
        <w:t xml:space="preserve">ановый период 2015 и 2016 годов" (далее - закон о бюджете), </w:t>
      </w:r>
      <w:r>
        <w:lastRenderedPageBreak/>
        <w:t xml:space="preserve">не позднее двух месяцев со дня вступления в силу указанного закона о бюджете представить в Администрацию Курской области предложения о приведении утвержденной государственной </w:t>
      </w:r>
      <w:hyperlink w:anchor="Par49" w:tooltip="ГОСУДАРСТВЕННАЯ ПРОГРАММА КУРСКОЙ ОБЛАСТИ" w:history="1">
        <w:r>
          <w:rPr>
            <w:color w:val="0000FF"/>
          </w:rPr>
          <w:t>программы</w:t>
        </w:r>
      </w:hyperlink>
      <w:r>
        <w:t xml:space="preserve"> Курской области в соответствие с законом о бюджете в установленном порядке.</w:t>
      </w:r>
    </w:p>
    <w:p w:rsidR="00000000" w:rsidRDefault="005112E6">
      <w:pPr>
        <w:pStyle w:val="ConsPlusNormal"/>
        <w:spacing w:before="240"/>
        <w:ind w:firstLine="540"/>
        <w:jc w:val="both"/>
      </w:pPr>
      <w:bookmarkStart w:id="0" w:name="Par33"/>
      <w:bookmarkEnd w:id="0"/>
      <w:r>
        <w:t xml:space="preserve">3. Признать утратившими силу постановления Администрации Курской области по </w:t>
      </w:r>
      <w:hyperlink w:anchor="Par159" w:tooltip="ПЕРЕЧЕНЬ" w:history="1">
        <w:r>
          <w:rPr>
            <w:color w:val="0000FF"/>
          </w:rPr>
          <w:t>пе</w:t>
        </w:r>
        <w:r>
          <w:rPr>
            <w:color w:val="0000FF"/>
          </w:rPr>
          <w:t>речню</w:t>
        </w:r>
      </w:hyperlink>
      <w:r>
        <w:t xml:space="preserve"> согласно приложению.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 xml:space="preserve">4. Настоящее постановление вступает в силу со дня его официального опубликования, за исключением </w:t>
      </w:r>
      <w:hyperlink w:anchor="Par33" w:tooltip="3. Признать утратившими силу постановления Администрации Курской области по перечню согласно приложению." w:history="1">
        <w:r>
          <w:rPr>
            <w:color w:val="0000FF"/>
          </w:rPr>
          <w:t>пункта 3</w:t>
        </w:r>
      </w:hyperlink>
      <w:r>
        <w:t>, который вступает в силу с 1 января 2014 года.</w:t>
      </w:r>
    </w:p>
    <w:p w:rsidR="00000000" w:rsidRDefault="005112E6">
      <w:pPr>
        <w:pStyle w:val="ConsPlusNormal"/>
      </w:pPr>
    </w:p>
    <w:p w:rsidR="00000000" w:rsidRDefault="005112E6">
      <w:pPr>
        <w:pStyle w:val="ConsPlusNormal"/>
        <w:jc w:val="right"/>
      </w:pPr>
      <w:r>
        <w:t>И.о. Губернатора</w:t>
      </w:r>
    </w:p>
    <w:p w:rsidR="00000000" w:rsidRDefault="005112E6">
      <w:pPr>
        <w:pStyle w:val="ConsPlusNormal"/>
        <w:jc w:val="right"/>
      </w:pPr>
      <w:r>
        <w:t>Курской области</w:t>
      </w:r>
    </w:p>
    <w:p w:rsidR="00000000" w:rsidRDefault="005112E6">
      <w:pPr>
        <w:pStyle w:val="ConsPlusNormal"/>
        <w:jc w:val="right"/>
      </w:pPr>
      <w:r>
        <w:t>А.С.ЗУБАРЕВ</w:t>
      </w:r>
    </w:p>
    <w:p w:rsidR="00000000" w:rsidRDefault="005112E6">
      <w:pPr>
        <w:pStyle w:val="ConsPlusNormal"/>
      </w:pPr>
    </w:p>
    <w:p w:rsidR="00000000" w:rsidRDefault="005112E6">
      <w:pPr>
        <w:pStyle w:val="ConsPlusNormal"/>
      </w:pPr>
    </w:p>
    <w:p w:rsidR="00000000" w:rsidRDefault="005112E6">
      <w:pPr>
        <w:pStyle w:val="ConsPlusNormal"/>
      </w:pPr>
    </w:p>
    <w:p w:rsidR="00000000" w:rsidRDefault="005112E6">
      <w:pPr>
        <w:pStyle w:val="ConsPlusNormal"/>
      </w:pPr>
    </w:p>
    <w:p w:rsidR="00000000" w:rsidRDefault="005112E6">
      <w:pPr>
        <w:pStyle w:val="ConsPlusNormal"/>
      </w:pPr>
    </w:p>
    <w:p w:rsidR="00000000" w:rsidRDefault="005112E6">
      <w:pPr>
        <w:pStyle w:val="ConsPlusNormal"/>
        <w:jc w:val="right"/>
        <w:outlineLvl w:val="0"/>
      </w:pPr>
      <w:r>
        <w:t>Утверждена</w:t>
      </w:r>
    </w:p>
    <w:p w:rsidR="00000000" w:rsidRDefault="005112E6">
      <w:pPr>
        <w:pStyle w:val="ConsPlusNormal"/>
        <w:jc w:val="right"/>
      </w:pPr>
      <w:r>
        <w:t>постановлением</w:t>
      </w:r>
    </w:p>
    <w:p w:rsidR="00000000" w:rsidRDefault="005112E6">
      <w:pPr>
        <w:pStyle w:val="ConsPlusNormal"/>
        <w:jc w:val="right"/>
      </w:pPr>
      <w:r>
        <w:t>Администрации Курской области</w:t>
      </w:r>
    </w:p>
    <w:p w:rsidR="00000000" w:rsidRDefault="005112E6">
      <w:pPr>
        <w:pStyle w:val="ConsPlusNormal"/>
        <w:jc w:val="right"/>
      </w:pPr>
      <w:r>
        <w:t>от 27 сентября 2013 г. N 682-па</w:t>
      </w:r>
    </w:p>
    <w:p w:rsidR="00000000" w:rsidRDefault="005112E6">
      <w:pPr>
        <w:pStyle w:val="ConsPlusNormal"/>
        <w:jc w:val="center"/>
      </w:pPr>
    </w:p>
    <w:p w:rsidR="00000000" w:rsidRDefault="005112E6">
      <w:pPr>
        <w:pStyle w:val="ConsPlusTitle"/>
        <w:jc w:val="center"/>
      </w:pPr>
      <w:bookmarkStart w:id="1" w:name="Par49"/>
      <w:bookmarkEnd w:id="1"/>
      <w:r>
        <w:t>ГОСУДАРСТВЕННАЯ ПРОГРАММА КУРСКОЙ ОБЛАСТИ</w:t>
      </w:r>
    </w:p>
    <w:p w:rsidR="00000000" w:rsidRDefault="005112E6">
      <w:pPr>
        <w:pStyle w:val="ConsPlusTitle"/>
        <w:jc w:val="center"/>
      </w:pPr>
      <w:r>
        <w:t>"РАЗВИТИЕ ЛЕСНОГО ХОЗЯЙСТВА В КУРСКОЙ ОБЛАСТИ"</w:t>
      </w:r>
    </w:p>
    <w:p w:rsidR="00000000" w:rsidRDefault="005112E6">
      <w:pPr>
        <w:pStyle w:val="ConsPlusTitle"/>
        <w:jc w:val="center"/>
      </w:pPr>
      <w:r>
        <w:t>(ДАЛЕЕ - ГОСУДАРСТВЕННАЯ ПРОГРАММА)</w:t>
      </w:r>
    </w:p>
    <w:p w:rsidR="00000000" w:rsidRDefault="005112E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112E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112E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5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</w:t>
            </w:r>
            <w:r>
              <w:rPr>
                <w:color w:val="392C69"/>
              </w:rPr>
              <w:t>тельства Курской области</w:t>
            </w:r>
          </w:p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27.02.2024 N 140-пп)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112E6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5112E6">
      <w:pPr>
        <w:pStyle w:val="ConsPlusNormal"/>
        <w:jc w:val="center"/>
      </w:pPr>
    </w:p>
    <w:p w:rsidR="00000000" w:rsidRDefault="005112E6">
      <w:pPr>
        <w:pStyle w:val="ConsPlusTitle"/>
        <w:jc w:val="center"/>
        <w:outlineLvl w:val="1"/>
      </w:pPr>
      <w:r>
        <w:t>Стратегические приоритеты государственной программы</w:t>
      </w:r>
    </w:p>
    <w:p w:rsidR="00000000" w:rsidRDefault="005112E6">
      <w:pPr>
        <w:pStyle w:val="ConsPlusNormal"/>
        <w:jc w:val="center"/>
      </w:pPr>
    </w:p>
    <w:p w:rsidR="00000000" w:rsidRDefault="005112E6">
      <w:pPr>
        <w:pStyle w:val="ConsPlusTitle"/>
        <w:jc w:val="center"/>
        <w:outlineLvl w:val="2"/>
      </w:pPr>
      <w:r>
        <w:t>1. Оценка текущего состояния сферы реализации</w:t>
      </w:r>
    </w:p>
    <w:p w:rsidR="00000000" w:rsidRDefault="005112E6">
      <w:pPr>
        <w:pStyle w:val="ConsPlusTitle"/>
        <w:jc w:val="center"/>
      </w:pPr>
      <w:r>
        <w:t>государственной программы</w:t>
      </w:r>
    </w:p>
    <w:p w:rsidR="00000000" w:rsidRDefault="005112E6">
      <w:pPr>
        <w:pStyle w:val="ConsPlusNormal"/>
        <w:jc w:val="center"/>
      </w:pPr>
    </w:p>
    <w:p w:rsidR="00000000" w:rsidRDefault="005112E6">
      <w:pPr>
        <w:pStyle w:val="ConsPlusNormal"/>
        <w:ind w:firstLine="540"/>
        <w:jc w:val="both"/>
      </w:pPr>
      <w:r>
        <w:t>Лесное хозяйство является видом экономической деятельности, в рамках которого осуществляется система мероприятий, направленных на воспроизводство лесов, охрану их от пожаров, защиту от вредных организмов и иных негативных факторов, регулирование использова</w:t>
      </w:r>
      <w:r>
        <w:t>ния лесов и учет лесных ресурсов в целях удовлетворения потребностей экономики в древесине и другой лесной продукции при сохранении экологических и социальных функций леса.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Лесной фонд, находящийся в границах территории Курской области, по данным государст</w:t>
      </w:r>
      <w:r>
        <w:t>венного лесного реестра на 1 января 2023 года составляет 236,839 тыс. га, или 87,9% от общей площади лесов области. Покрытые лесом земли занимают 219,9 тыс. га, общий запас насаждений равен 40,5 млн. м</w:t>
      </w:r>
      <w:r>
        <w:rPr>
          <w:vertAlign w:val="superscript"/>
        </w:rPr>
        <w:t>3</w:t>
      </w:r>
      <w:r>
        <w:t>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lastRenderedPageBreak/>
        <w:t>Леса занимают 8,2% территории области и представлены</w:t>
      </w:r>
      <w:r>
        <w:t xml:space="preserve"> в основном небольшими обособленными лесными участками. По территории Курской области леса распределяются неравномерно, от 2,1% на востоке области до 18,3% на северо-западе. В лесном фонде преобладают твердолиственные насаждения (62,4% площади лесов, из ко</w:t>
      </w:r>
      <w:r>
        <w:t>торых более 62% - низкоствольные), на долю хвойных пород приходится 11,8%, осины - 7,8%, березы - 8,1%. В лесах области, кроме основных лесообразующих древесных пород, встречаются интродуценты: ель обыкновенная, дуб красный, лиственница сибирская, сосна кр</w:t>
      </w:r>
      <w:r>
        <w:t>ымская и веймутова, бархат амурский, псевдотсуга Мензиса.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По целевому назначению леса Курской области отнесены к защитным лесам. Основным назначением лесов области является выполнение разнообразных природоохранных функций, основные из которых - почвозащитная и средообразующая (противоэрозионные леса составляют 84</w:t>
      </w:r>
      <w:r>
        <w:t>% общей площади лесов), рекреационная и оздоровительная (лесопарковые леса - 9,6%), водоохранная - 2,8%, прочие - 3,6%.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По итогам реализации государственной политики в 2022 году в сфере лесного хозяйства достигнуты следующие результаты: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сохранен уровень по</w:t>
      </w:r>
      <w:r>
        <w:t>казателя лесистости территории Курской области - 8,2%;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обеспечено значение показателя доли площади земель лесного фонда, переданных в пользование, в общей площади земель лесного фонда - 40,2%;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выполнен план по поступлению объемов платежей в бюджетную систе</w:t>
      </w:r>
      <w:r>
        <w:t>му Российской Федерации от использования лесов. Так, в расчете на 1 гектар земель лесного фонда поступление платежей составило 198,5 руб.;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лесных пожаров на территории Курской области не допущено;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обеспечена доля площади лесов, на которых проведена таксаци</w:t>
      </w:r>
      <w:r>
        <w:t>я лесов,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 на уровне 100%;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увеличено отношение площади</w:t>
      </w:r>
      <w:r>
        <w:t xml:space="preserve"> лесовосстановления и лесоразведения к площади вырубленных и погибших лесных насаждений (согласно региональному проекту "Сохранение лесов в Курской области") до 556,2%;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обеспечена доля семян с улучшенными наследственными свойствами в общем объеме заготовле</w:t>
      </w:r>
      <w:r>
        <w:t>нных семян и составила 0,2%;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увеличена площадь рубок ухода за молодняками (осветление и прочистка) и составила 0,36555 тыс. га;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увеличено отношение площади земель, отнесенных к землям, занятым лесными насаждениями (за текущий год), к площади фактической сп</w:t>
      </w:r>
      <w:r>
        <w:t>лошной рубки за год (без учета рубки лесных насаждений, предназначенных для строительства, реконструкции и эксплуатации объектов) до 596,07%;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lastRenderedPageBreak/>
        <w:t>не причинен ущерб лесным насаждениям от лесных пожаров (согласно региональному проекту "Сохранение лесов в Курской</w:t>
      </w:r>
      <w:r>
        <w:t xml:space="preserve"> области");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увеличена площадь лесовосстановления и лесоразведения (согласно региональному проекту "Сохранение лесов в Курской области") - 0,31649 тыс. га;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уменьшена площадь погибших лесных насаждений (согласно региональному проекту "Сохранение лесов в Курс</w:t>
      </w:r>
      <w:r>
        <w:t>кой области") до 0,0182 тыс. га;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увеличено количество выращенного посадочного материала лесных растений (согласно региональному проекту "Сохранение лесов в Курской области") до 2,893055 млн. шт.;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увеличена заготовка семян лесных растений для лесовосстановл</w:t>
      </w:r>
      <w:r>
        <w:t>ения (согласно региональному проекту "Сохранение лесов в Курской области") до 16,0162 т;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приобретено 26 ед. лесохозяйственной техники и оборудования и 27 ед. специализированной техники для проведения комплекса мероприятий по охране лесов от пожаров;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осущес</w:t>
      </w:r>
      <w:r>
        <w:t>твлен федеральный государственный лесной надзор (лесная охрана) государственными лесными инспекторами численностью 92 человека;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обеспечено функционирование специализированной диспетчерской службы в целях предупреждения возникновения и распространения лесны</w:t>
      </w:r>
      <w:r>
        <w:t>х пожаров, включая особо охраняемые природные территории.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 xml:space="preserve">В настоящее время в лесном хозяйстве Курской области накопились проблемы, препятствующие повышению эффективности использования, охраны, защиты и воспроизводства лесов, улучшению их продуктивности и </w:t>
      </w:r>
      <w:r>
        <w:t>качества, сохранению экологических функций лесных насаждений и биологического разнообразия, от решения которых зависит сохранение глобальной экологической значимости леса.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В течение десятилетия основными негативными факторами, влияющими на состояние лесных</w:t>
      </w:r>
      <w:r>
        <w:t xml:space="preserve"> насаждений Курской области, являлись болезни леса. Под их воздействием происходило постоянное нарушение устойчивости лесов и, как следствие, ухудшение санитарного и лесопатологического состояния насаждений.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В настоящее время наметилась тенденция к увеличе</w:t>
      </w:r>
      <w:r>
        <w:t>нию повреждения лесов и потерь лесных ресурсов от вредителей и болезней леса.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При сохранении существующих тенденций площадь очагов вредителей и болезней в лесах Курской области может удвоиться и достичь 50 тысяч гектаров. Постоянно сокращается перечень сре</w:t>
      </w:r>
      <w:r>
        <w:t>дств защиты леса от вредных организмов, особенно в части экологически безопасных и эффективных биологических препаратов.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Остается высокой доля гибели лесных культур старших возрастов, основной причиной которой является снижение объемов ухода за ними в моло</w:t>
      </w:r>
      <w:r>
        <w:t>дом возрасте. За последние 10 лет объемы рубок ухода в молодняках (осветление, прочистка) снизились почти в 1,5 раза.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 xml:space="preserve">Особо остро стоит вопрос по расторжению договоров аренды лесных участков с </w:t>
      </w:r>
      <w:r>
        <w:lastRenderedPageBreak/>
        <w:t>лесопользователями, неисполнение договорных обязательств лесопо</w:t>
      </w:r>
      <w:r>
        <w:t>льзователями, отсутствие сформированных в соответствии с действующим законодательством лесных участков на землях лесного фонда для выставления на торги.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Дальнейшее развитие лесного хозяйства области не может быть осуществлено без укрепления кадрового потен</w:t>
      </w:r>
      <w:r>
        <w:t>циала. Ежегодно растет дефицит квалифицированных кадров, остается низким уровень производительности труда, что обусловлено низким уровнем оплаты труда, а также ухудшающейся ситуацией в профессиональной и квалификационной подготовке специалистов.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Реализация</w:t>
      </w:r>
      <w:r>
        <w:t xml:space="preserve"> государственной программы будет способствовать решению указанных проблем программными методами.</w:t>
      </w:r>
    </w:p>
    <w:p w:rsidR="00000000" w:rsidRDefault="005112E6">
      <w:pPr>
        <w:pStyle w:val="ConsPlusNormal"/>
        <w:ind w:firstLine="540"/>
        <w:jc w:val="both"/>
      </w:pPr>
    </w:p>
    <w:p w:rsidR="00000000" w:rsidRDefault="005112E6">
      <w:pPr>
        <w:pStyle w:val="ConsPlusTitle"/>
        <w:jc w:val="center"/>
        <w:outlineLvl w:val="2"/>
      </w:pPr>
      <w:r>
        <w:t>2. Описание приоритетов и целей государственной политики</w:t>
      </w:r>
    </w:p>
    <w:p w:rsidR="00000000" w:rsidRDefault="005112E6">
      <w:pPr>
        <w:pStyle w:val="ConsPlusTitle"/>
        <w:jc w:val="center"/>
      </w:pPr>
      <w:r>
        <w:t>в сфере реализации государственной программы</w:t>
      </w:r>
    </w:p>
    <w:p w:rsidR="00000000" w:rsidRDefault="005112E6">
      <w:pPr>
        <w:pStyle w:val="ConsPlusNormal"/>
        <w:jc w:val="center"/>
      </w:pPr>
    </w:p>
    <w:p w:rsidR="00000000" w:rsidRDefault="005112E6">
      <w:pPr>
        <w:pStyle w:val="ConsPlusNormal"/>
        <w:ind w:firstLine="540"/>
        <w:jc w:val="both"/>
      </w:pPr>
      <w:r>
        <w:t>В основополагающих документах развития лесного комплекса Российской Федерации определены цели и задачи государственной политики и намечены пути решения задач с учетом существующей и прогнозной социально-экономической ситуации в стране.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Цели государственной</w:t>
      </w:r>
      <w:r>
        <w:t xml:space="preserve"> политики в сфере лесного хозяйства определены в следующих документах:</w:t>
      </w:r>
    </w:p>
    <w:p w:rsidR="00000000" w:rsidRDefault="005112E6">
      <w:pPr>
        <w:pStyle w:val="ConsPlusNormal"/>
        <w:spacing w:before="240"/>
        <w:ind w:firstLine="540"/>
        <w:jc w:val="both"/>
      </w:pPr>
      <w:hyperlink r:id="rId5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апреля 2014 г. N 318 "Об утверждении госу</w:t>
      </w:r>
      <w:r>
        <w:t>дарственной программы Российской Федерации "Развитие лесного хозяйства";</w:t>
      </w:r>
    </w:p>
    <w:p w:rsidR="00000000" w:rsidRDefault="005112E6">
      <w:pPr>
        <w:pStyle w:val="ConsPlusNormal"/>
        <w:spacing w:before="240"/>
        <w:ind w:firstLine="540"/>
        <w:jc w:val="both"/>
      </w:pPr>
      <w:hyperlink r:id="rId57" w:history="1">
        <w:r>
          <w:rPr>
            <w:color w:val="0000FF"/>
          </w:rPr>
          <w:t>Основы</w:t>
        </w:r>
      </w:hyperlink>
      <w:r>
        <w:t xml:space="preserve"> государственной политики в области использования, охраны, защиты и</w:t>
      </w:r>
      <w:r>
        <w:t xml:space="preserve"> воспроизводства лесов в Российской Федерации на период до 2030 года, утвержденные Распоряжением Правительства Российской Федерации от 26 сентября 2013 г. N 1724-р;</w:t>
      </w:r>
    </w:p>
    <w:p w:rsidR="00000000" w:rsidRDefault="005112E6">
      <w:pPr>
        <w:pStyle w:val="ConsPlusNormal"/>
        <w:spacing w:before="240"/>
        <w:ind w:firstLine="540"/>
        <w:jc w:val="both"/>
      </w:pPr>
      <w:hyperlink r:id="rId58" w:history="1">
        <w:r>
          <w:rPr>
            <w:color w:val="0000FF"/>
          </w:rPr>
          <w:t>Стратегия</w:t>
        </w:r>
      </w:hyperlink>
      <w:r>
        <w:t xml:space="preserve"> развития лесного комплекса Российской Федерации до 2030 года, утвержденная Распоряжением Правительства Российской Федерации от 11 февраля 2021 г. N 312-р;</w:t>
      </w:r>
    </w:p>
    <w:p w:rsidR="00000000" w:rsidRDefault="005112E6">
      <w:pPr>
        <w:pStyle w:val="ConsPlusNormal"/>
        <w:spacing w:before="240"/>
        <w:ind w:firstLine="540"/>
        <w:jc w:val="both"/>
      </w:pPr>
      <w:hyperlink r:id="rId59" w:history="1">
        <w:r>
          <w:rPr>
            <w:color w:val="0000FF"/>
          </w:rPr>
          <w:t>Закон</w:t>
        </w:r>
      </w:hyperlink>
      <w:r>
        <w:t xml:space="preserve"> Курской области от 14 декабря 2020 года N 100-ЗКО "О Стратегии социально-экономического развития Курской области на период до 2030 года".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Основными целями и приоритетами государственной политики в сфере реализации государственной</w:t>
      </w:r>
      <w:r>
        <w:t xml:space="preserve"> программы в том числе являются: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эффективное управление лесным сектором экономики;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благоприятная окружающая среда для граждан и сохранение биосферной роли лесов;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рост уровня жизни граждан и устойчивое социально-экономическое развитие лесных территорий;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дос</w:t>
      </w:r>
      <w:r>
        <w:t>тижение устойчивого лесоуправления, эффективного использования, охраны, защиты, воспроизводства лесов.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lastRenderedPageBreak/>
        <w:t xml:space="preserve">Также необходимо отметить, что приоритетным видом использования лесов является осуществление рекреационной деятельности, а по направлению охраны лесов - </w:t>
      </w:r>
      <w:r>
        <w:t>профилактика и предупреждение возникновения негативных ситуаций в лесной сфере, создающих угрозу жизни и здоровью граждан, экологии региона, а также объектам экономики.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 xml:space="preserve">Государственная политика в сфере реализации государственной программы в соответствии с </w:t>
      </w:r>
      <w:r>
        <w:t>документами стратегического планирования основывается в том числе на следующих принципах: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признание и соблюдение прав граждан на использование природных ресурсов и благоприятную окружающую среду, а также на получение достоверной информации о лесах;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многоце</w:t>
      </w:r>
      <w:r>
        <w:t>левое, комплексное и неистощительное использование лесов, а также сохранение площади лесов, находящихся в государственной собственности;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сохранение лесов, находящихся в федеральной собственности;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обоснованность и последовательность в принятии решений в сфе</w:t>
      </w:r>
      <w:r>
        <w:t>ре управления лесами.</w:t>
      </w:r>
    </w:p>
    <w:p w:rsidR="00000000" w:rsidRDefault="005112E6">
      <w:pPr>
        <w:pStyle w:val="ConsPlusNormal"/>
        <w:jc w:val="both"/>
      </w:pPr>
    </w:p>
    <w:p w:rsidR="00000000" w:rsidRDefault="005112E6">
      <w:pPr>
        <w:pStyle w:val="ConsPlusTitle"/>
        <w:jc w:val="center"/>
        <w:outlineLvl w:val="2"/>
      </w:pPr>
      <w:r>
        <w:t>3. Задачи государственного управления, способы их</w:t>
      </w:r>
    </w:p>
    <w:p w:rsidR="00000000" w:rsidRDefault="005112E6">
      <w:pPr>
        <w:pStyle w:val="ConsPlusTitle"/>
        <w:jc w:val="center"/>
      </w:pPr>
      <w:r>
        <w:t>эффективного решения в соответствующей отрасли экономики</w:t>
      </w:r>
    </w:p>
    <w:p w:rsidR="00000000" w:rsidRDefault="005112E6">
      <w:pPr>
        <w:pStyle w:val="ConsPlusTitle"/>
        <w:jc w:val="center"/>
      </w:pPr>
      <w:r>
        <w:t>и сфере государственного управления Курской области</w:t>
      </w:r>
    </w:p>
    <w:p w:rsidR="00000000" w:rsidRDefault="005112E6">
      <w:pPr>
        <w:pStyle w:val="ConsPlusNormal"/>
        <w:ind w:firstLine="540"/>
        <w:jc w:val="both"/>
      </w:pPr>
    </w:p>
    <w:p w:rsidR="00000000" w:rsidRDefault="005112E6">
      <w:pPr>
        <w:pStyle w:val="ConsPlusNormal"/>
        <w:ind w:firstLine="540"/>
        <w:jc w:val="both"/>
      </w:pPr>
      <w:r>
        <w:t>Цель 1 государственной программы - обеспечение воспроизводства лесов на уровне не менее 100% к объему вырубленных и погибших лесов.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 xml:space="preserve">Данная цель будет обеспечена решением следующей задачи - сохранение лесов, в том числе на основе их воспроизводства на всех </w:t>
      </w:r>
      <w:r>
        <w:t>участках вырубленных и погибших лесных насаждений.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Ожидаемым результатом реализации задачи является достижение к 2030 году следующих показателей: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обеспечение отношения площади лесовосстановления и лесоразведения к площади вырубленных и погибших лесных наса</w:t>
      </w:r>
      <w:r>
        <w:t>ждений на уровне 100%;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недопущение увеличения ущерба лесным насаждениям от лесных пожаров свыше 1700,0 тыс. рублей;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увеличение площади лесовосстановления и лесоразведения до 3,24039 тыс. га;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недопущение увеличения площади погибших лесных насаждений свыше 0</w:t>
      </w:r>
      <w:r>
        <w:t>,09 тыс. га;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увеличение количества выращенного посадочного материала лесных растений до 21,317 млн. шт.;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увеличение запаса семян лесных растений для лесовосстановления и лесоразведения до 90,29 тонны.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Цель 2 государственной программы - повышение эффективно</w:t>
      </w:r>
      <w:r>
        <w:t xml:space="preserve">сти охраны, защиты и воспроизводства лесов, а также обеспечение комфортной и безопасной среды для жителей </w:t>
      </w:r>
      <w:r>
        <w:lastRenderedPageBreak/>
        <w:t>Курской области.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Для достижения поставленной цели необходимо решить следующие задачи: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повышение уровня предупреждения и эффективности тушения лесных п</w:t>
      </w:r>
      <w:r>
        <w:t>ожаров;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осуществление мероприятий по защите лесов, отводу лесосек и рубок ухода за лесами;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обеспечение выполнения мероприятий и достижения ожидаемых результатов государственной программы.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 xml:space="preserve">Ожидаемыми результатами реализации задач является достижение к 2030 </w:t>
      </w:r>
      <w:r>
        <w:t>году: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сохранение лесистости территории Курской области на уровне 8,2%;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увеличение доли площади земель лесного фонда, переданных в пользование, в общей площади земель лесного фонда до уровня 40,3%;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 xml:space="preserve">увеличение объемов платежей в бюджетную систему Российской </w:t>
      </w:r>
      <w:r>
        <w:t>Федерации от использования лесов, расположенных на землях лесного фонда, в расчете на 1 гектар земель лесного фонда до 157,86 рубля;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увеличение до 50,3% отношения фактического объема заготовки древесины к установленному допустимому объему изъятия древесины</w:t>
      </w:r>
      <w:r>
        <w:t>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сокращение площади лесных пожаров на землях лесного фонда до 0,42 га;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недопущение увеличения доли лесных пожаров, ликвидированных в течение первых суток с момента обнаружения, в общем количестве лесных пожаров свыше 87,06%;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обеспечение объема семян с улу</w:t>
      </w:r>
      <w:r>
        <w:t>чшенными наследственными свойствами на уровне 0,0032 тонны.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Указанные задачи решаются, в том числе следующими способами: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путем реализации регионального проекта "Сохранение лесов в Курской области";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путем реализации регионального проекта "Стимулирование спр</w:t>
      </w:r>
      <w:r>
        <w:t>оса на отечественные беспилотные авиационные системы";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путем реализации комплекса процессных мероприятий "Обеспечение охраны, защиты, использования и воспроизводства лесов";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>путем реализации комплекса процессных мероприятий "Обеспечение реализации государственных функций в области лесных отношений".</w:t>
      </w:r>
    </w:p>
    <w:p w:rsidR="00000000" w:rsidRDefault="005112E6">
      <w:pPr>
        <w:pStyle w:val="ConsPlusNormal"/>
        <w:ind w:firstLine="540"/>
        <w:jc w:val="both"/>
      </w:pPr>
    </w:p>
    <w:p w:rsidR="00000000" w:rsidRDefault="005112E6">
      <w:pPr>
        <w:pStyle w:val="ConsPlusTitle"/>
        <w:jc w:val="center"/>
        <w:outlineLvl w:val="2"/>
      </w:pPr>
      <w:r>
        <w:t>4. Задачи, определенные в соответствии с национальными</w:t>
      </w:r>
    </w:p>
    <w:p w:rsidR="00000000" w:rsidRDefault="005112E6">
      <w:pPr>
        <w:pStyle w:val="ConsPlusTitle"/>
        <w:jc w:val="center"/>
      </w:pPr>
      <w:r>
        <w:t>целями</w:t>
      </w:r>
    </w:p>
    <w:p w:rsidR="00000000" w:rsidRDefault="005112E6">
      <w:pPr>
        <w:pStyle w:val="ConsPlusNormal"/>
        <w:jc w:val="center"/>
      </w:pPr>
    </w:p>
    <w:p w:rsidR="00000000" w:rsidRDefault="005112E6">
      <w:pPr>
        <w:pStyle w:val="ConsPlusNormal"/>
        <w:ind w:firstLine="540"/>
        <w:jc w:val="both"/>
      </w:pPr>
      <w:r>
        <w:lastRenderedPageBreak/>
        <w:t>Государственная программа способствует реализации национальной це</w:t>
      </w:r>
      <w:r>
        <w:t xml:space="preserve">ли развития Российской Федерации на период до 2030 года - "Комфортная и безопасная среда для жизни", определенной </w:t>
      </w:r>
      <w:hyperlink r:id="rId6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202</w:t>
      </w:r>
      <w:r>
        <w:t>0 года N 474 "О национальных целях развития Российской Федерации на период до 2030 года", путем решения задач, предусмотренных государственной программой.</w:t>
      </w:r>
    </w:p>
    <w:p w:rsidR="00000000" w:rsidRDefault="005112E6">
      <w:pPr>
        <w:pStyle w:val="ConsPlusNormal"/>
        <w:ind w:firstLine="540"/>
        <w:jc w:val="both"/>
      </w:pPr>
    </w:p>
    <w:p w:rsidR="00000000" w:rsidRDefault="005112E6">
      <w:pPr>
        <w:pStyle w:val="ConsPlusNormal"/>
      </w:pPr>
    </w:p>
    <w:p w:rsidR="00000000" w:rsidRDefault="005112E6">
      <w:pPr>
        <w:pStyle w:val="ConsPlusNormal"/>
      </w:pPr>
    </w:p>
    <w:p w:rsidR="00000000" w:rsidRDefault="005112E6">
      <w:pPr>
        <w:pStyle w:val="ConsPlusNormal"/>
      </w:pPr>
    </w:p>
    <w:p w:rsidR="00000000" w:rsidRDefault="005112E6">
      <w:pPr>
        <w:pStyle w:val="ConsPlusNormal"/>
      </w:pPr>
    </w:p>
    <w:p w:rsidR="00000000" w:rsidRDefault="005112E6">
      <w:pPr>
        <w:pStyle w:val="ConsPlusNormal"/>
        <w:jc w:val="right"/>
        <w:outlineLvl w:val="0"/>
      </w:pPr>
      <w:r>
        <w:t>Приложение</w:t>
      </w:r>
    </w:p>
    <w:p w:rsidR="00000000" w:rsidRDefault="005112E6">
      <w:pPr>
        <w:pStyle w:val="ConsPlusNormal"/>
        <w:jc w:val="right"/>
      </w:pPr>
      <w:r>
        <w:t>к постановлению</w:t>
      </w:r>
    </w:p>
    <w:p w:rsidR="00000000" w:rsidRDefault="005112E6">
      <w:pPr>
        <w:pStyle w:val="ConsPlusNormal"/>
        <w:jc w:val="right"/>
      </w:pPr>
      <w:r>
        <w:t>Администрации Курской области</w:t>
      </w:r>
    </w:p>
    <w:p w:rsidR="00000000" w:rsidRDefault="005112E6">
      <w:pPr>
        <w:pStyle w:val="ConsPlusNormal"/>
        <w:jc w:val="right"/>
      </w:pPr>
      <w:r>
        <w:t>от 27 сентября 2013 г. N 682-па</w:t>
      </w:r>
    </w:p>
    <w:p w:rsidR="00000000" w:rsidRDefault="005112E6">
      <w:pPr>
        <w:pStyle w:val="ConsPlusNormal"/>
      </w:pPr>
    </w:p>
    <w:p w:rsidR="00000000" w:rsidRDefault="005112E6">
      <w:pPr>
        <w:pStyle w:val="ConsPlusTitle"/>
        <w:jc w:val="center"/>
      </w:pPr>
      <w:bookmarkStart w:id="2" w:name="Par159"/>
      <w:bookmarkEnd w:id="2"/>
      <w:r>
        <w:t>ПЕРЕЧЕНЬ</w:t>
      </w:r>
    </w:p>
    <w:p w:rsidR="00000000" w:rsidRDefault="005112E6">
      <w:pPr>
        <w:pStyle w:val="ConsPlusTitle"/>
        <w:jc w:val="center"/>
      </w:pPr>
      <w:r>
        <w:t>УТРАТИВШИХ СИЛУ ПОСТАНОВЛЕНИЙ АДМИНИСТРАЦИИ</w:t>
      </w:r>
    </w:p>
    <w:p w:rsidR="00000000" w:rsidRDefault="005112E6">
      <w:pPr>
        <w:pStyle w:val="ConsPlusTitle"/>
        <w:jc w:val="center"/>
      </w:pPr>
      <w:r>
        <w:t>КУРСКОЙ ОБЛАСТИ</w:t>
      </w:r>
    </w:p>
    <w:p w:rsidR="00000000" w:rsidRDefault="005112E6">
      <w:pPr>
        <w:pStyle w:val="ConsPlusNormal"/>
      </w:pPr>
    </w:p>
    <w:p w:rsidR="00000000" w:rsidRDefault="005112E6">
      <w:pPr>
        <w:pStyle w:val="ConsPlusNormal"/>
        <w:ind w:firstLine="540"/>
        <w:jc w:val="both"/>
      </w:pPr>
      <w:r>
        <w:t xml:space="preserve">1. </w:t>
      </w:r>
      <w:hyperlink r:id="rId61" w:history="1">
        <w:r>
          <w:rPr>
            <w:color w:val="0000FF"/>
          </w:rPr>
          <w:t>Постановление</w:t>
        </w:r>
      </w:hyperlink>
      <w:r>
        <w:t xml:space="preserve"> Администрации Курской области от 19.10.2011 N 521-па "Об утверждении об</w:t>
      </w:r>
      <w:r>
        <w:t>ластной целевой программы "Развитие лесного хозяйства Курской области на 2012 - 2020 годы".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 xml:space="preserve">2. </w:t>
      </w:r>
      <w:hyperlink r:id="rId62" w:history="1">
        <w:r>
          <w:rPr>
            <w:color w:val="0000FF"/>
          </w:rPr>
          <w:t>Постановление</w:t>
        </w:r>
      </w:hyperlink>
      <w:r>
        <w:t xml:space="preserve"> Администрации Курской области от 20.02.2012 N 141-па "О</w:t>
      </w:r>
      <w:r>
        <w:t xml:space="preserve"> внесении изменений в областную целевую программу "Развитие лесного хозяйства Курской области на 2012 - 2020 годы".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 xml:space="preserve">3. </w:t>
      </w:r>
      <w:hyperlink r:id="rId63" w:history="1">
        <w:r>
          <w:rPr>
            <w:color w:val="0000FF"/>
          </w:rPr>
          <w:t>Постановление</w:t>
        </w:r>
      </w:hyperlink>
      <w:r>
        <w:t xml:space="preserve"> Администрации Курской области о</w:t>
      </w:r>
      <w:r>
        <w:t>т 30.07.2012 N 646-па "О внесении изменений в областную целевую программу "Развитие лесного хозяйства Курской области на 2012 - 2020 годы".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 xml:space="preserve">4. </w:t>
      </w:r>
      <w:hyperlink r:id="rId64" w:history="1">
        <w:r>
          <w:rPr>
            <w:color w:val="0000FF"/>
          </w:rPr>
          <w:t>Постановление</w:t>
        </w:r>
      </w:hyperlink>
      <w:r>
        <w:t xml:space="preserve"> Администрации Курской области от 12.09.2012 N 773-па "О внесении изменений в областную целевую программу "Развитие лесного хозяйства Курской области на 2012 - 2020 годы".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 xml:space="preserve">5. </w:t>
      </w:r>
      <w:hyperlink r:id="rId65" w:history="1">
        <w:r>
          <w:rPr>
            <w:color w:val="0000FF"/>
          </w:rPr>
          <w:t>Постановление</w:t>
        </w:r>
      </w:hyperlink>
      <w:r>
        <w:t xml:space="preserve"> Администрации Курской области от 15.10.2012 N 871-па "О внесении изменений в областную целевую программу "Развитие лесного хозяйства Курской области на 2012 - 2020 годы".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 xml:space="preserve">6. </w:t>
      </w:r>
      <w:hyperlink r:id="rId66" w:history="1">
        <w:r>
          <w:rPr>
            <w:color w:val="0000FF"/>
          </w:rPr>
          <w:t>Постановление</w:t>
        </w:r>
      </w:hyperlink>
      <w:r>
        <w:t xml:space="preserve"> Администрации Курской области от 15.11.2012 N 1011-па "О внесении изменений в областную целевую программу "Развитие лесного хозяйства Курской области на 2012 - 2020 годы".</w:t>
      </w:r>
    </w:p>
    <w:p w:rsidR="00000000" w:rsidRDefault="005112E6">
      <w:pPr>
        <w:pStyle w:val="ConsPlusNormal"/>
        <w:spacing w:before="240"/>
        <w:ind w:firstLine="540"/>
        <w:jc w:val="both"/>
      </w:pPr>
      <w:r>
        <w:t xml:space="preserve">7. </w:t>
      </w:r>
      <w:hyperlink r:id="rId67" w:history="1">
        <w:r>
          <w:rPr>
            <w:color w:val="0000FF"/>
          </w:rPr>
          <w:t>Постановление</w:t>
        </w:r>
      </w:hyperlink>
      <w:r>
        <w:t xml:space="preserve"> Администрации Курской области от 13.05.2013 N 284-па "О внесении изменений в областную целевую программу "Развитие лесного хозяйства Курской области на 2012 - 2020 годы".</w:t>
      </w:r>
    </w:p>
    <w:p w:rsidR="00000000" w:rsidRDefault="005112E6">
      <w:pPr>
        <w:pStyle w:val="ConsPlusNormal"/>
      </w:pPr>
    </w:p>
    <w:p w:rsidR="00000000" w:rsidRDefault="005112E6">
      <w:pPr>
        <w:pStyle w:val="ConsPlusNormal"/>
      </w:pPr>
    </w:p>
    <w:p w:rsidR="005112E6" w:rsidRDefault="005112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112E6">
      <w:headerReference w:type="default" r:id="rId68"/>
      <w:footerReference w:type="default" r:id="rId6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2E6" w:rsidRDefault="005112E6">
      <w:pPr>
        <w:spacing w:after="0" w:line="240" w:lineRule="auto"/>
      </w:pPr>
      <w:r>
        <w:separator/>
      </w:r>
    </w:p>
  </w:endnote>
  <w:endnote w:type="continuationSeparator" w:id="1">
    <w:p w:rsidR="005112E6" w:rsidRDefault="0051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112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112E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112E6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112E6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1B27B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B27B4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1B27B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B27B4">
            <w:rPr>
              <w:rFonts w:ascii="Tahoma" w:hAnsi="Tahoma" w:cs="Tahoma"/>
              <w:noProof/>
              <w:sz w:val="20"/>
              <w:szCs w:val="20"/>
            </w:rPr>
            <w:t>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5112E6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2E6" w:rsidRDefault="005112E6">
      <w:pPr>
        <w:spacing w:after="0" w:line="240" w:lineRule="auto"/>
      </w:pPr>
      <w:r>
        <w:separator/>
      </w:r>
    </w:p>
  </w:footnote>
  <w:footnote w:type="continuationSeparator" w:id="1">
    <w:p w:rsidR="005112E6" w:rsidRDefault="00511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112E6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области от 27.09.2013 N 682-па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112E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</w:t>
          </w:r>
          <w:r>
            <w:rPr>
              <w:rFonts w:ascii="Tahoma" w:hAnsi="Tahoma" w:cs="Tahoma"/>
              <w:sz w:val="16"/>
              <w:szCs w:val="16"/>
            </w:rPr>
            <w:t>а сохранения: 05.04.2024</w:t>
          </w:r>
        </w:p>
      </w:tc>
    </w:tr>
  </w:tbl>
  <w:p w:rsidR="00000000" w:rsidRDefault="005112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5112E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5303E9"/>
    <w:rsid w:val="001B27B4"/>
    <w:rsid w:val="005112E6"/>
    <w:rsid w:val="0053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17&amp;n=51498&amp;date=05.04.2024&amp;dst=100005&amp;field=134" TargetMode="External"/><Relationship Id="rId18" Type="http://schemas.openxmlformats.org/officeDocument/2006/relationships/hyperlink" Target="https://login.consultant.ru/link/?req=doc&amp;base=RLAW417&amp;n=58961&amp;date=05.04.2024&amp;dst=100005&amp;field=134" TargetMode="External"/><Relationship Id="rId26" Type="http://schemas.openxmlformats.org/officeDocument/2006/relationships/hyperlink" Target="https://login.consultant.ru/link/?req=doc&amp;base=RLAW417&amp;n=69583&amp;date=05.04.2024&amp;dst=100005&amp;field=134" TargetMode="External"/><Relationship Id="rId39" Type="http://schemas.openxmlformats.org/officeDocument/2006/relationships/hyperlink" Target="https://login.consultant.ru/link/?req=doc&amp;base=RLAW417&amp;n=90423&amp;date=05.04.2024&amp;dst=100005&amp;field=134" TargetMode="External"/><Relationship Id="rId21" Type="http://schemas.openxmlformats.org/officeDocument/2006/relationships/hyperlink" Target="https://login.consultant.ru/link/?req=doc&amp;base=RLAW417&amp;n=60888&amp;date=05.04.2024&amp;dst=100005&amp;field=134" TargetMode="External"/><Relationship Id="rId34" Type="http://schemas.openxmlformats.org/officeDocument/2006/relationships/hyperlink" Target="https://login.consultant.ru/link/?req=doc&amp;base=RLAW417&amp;n=81740&amp;date=05.04.2024&amp;dst=100005&amp;field=134" TargetMode="External"/><Relationship Id="rId42" Type="http://schemas.openxmlformats.org/officeDocument/2006/relationships/hyperlink" Target="https://login.consultant.ru/link/?req=doc&amp;base=RLAW417&amp;n=94039&amp;date=05.04.2024&amp;dst=100005&amp;field=134" TargetMode="External"/><Relationship Id="rId47" Type="http://schemas.openxmlformats.org/officeDocument/2006/relationships/hyperlink" Target="https://login.consultant.ru/link/?req=doc&amp;base=RLAW417&amp;n=104558&amp;date=05.04.2024&amp;dst=100005&amp;field=134" TargetMode="External"/><Relationship Id="rId50" Type="http://schemas.openxmlformats.org/officeDocument/2006/relationships/hyperlink" Target="https://login.consultant.ru/link/?req=doc&amp;base=RLAW417&amp;n=114248&amp;date=05.04.2024&amp;dst=100005&amp;field=134" TargetMode="External"/><Relationship Id="rId55" Type="http://schemas.openxmlformats.org/officeDocument/2006/relationships/hyperlink" Target="https://login.consultant.ru/link/?req=doc&amp;base=RLAW417&amp;n=118511&amp;date=05.04.2024&amp;dst=100011&amp;field=134" TargetMode="External"/><Relationship Id="rId63" Type="http://schemas.openxmlformats.org/officeDocument/2006/relationships/hyperlink" Target="https://login.consultant.ru/link/?req=doc&amp;base=RLAW417&amp;n=33043&amp;date=05.04.2024" TargetMode="External"/><Relationship Id="rId68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7&amp;n=56371&amp;date=05.04.2024&amp;dst=100005&amp;field=134" TargetMode="External"/><Relationship Id="rId29" Type="http://schemas.openxmlformats.org/officeDocument/2006/relationships/hyperlink" Target="https://login.consultant.ru/link/?req=doc&amp;base=RLAW417&amp;n=74427&amp;date=05.04.2024&amp;dst=100005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417&amp;n=47886&amp;date=05.04.2024&amp;dst=100005&amp;field=134" TargetMode="External"/><Relationship Id="rId24" Type="http://schemas.openxmlformats.org/officeDocument/2006/relationships/hyperlink" Target="https://login.consultant.ru/link/?req=doc&amp;base=RLAW417&amp;n=67016&amp;date=05.04.2024&amp;dst=100005&amp;field=134" TargetMode="External"/><Relationship Id="rId32" Type="http://schemas.openxmlformats.org/officeDocument/2006/relationships/hyperlink" Target="https://login.consultant.ru/link/?req=doc&amp;base=RLAW417&amp;n=78802&amp;date=05.04.2024&amp;dst=100005&amp;field=134" TargetMode="External"/><Relationship Id="rId37" Type="http://schemas.openxmlformats.org/officeDocument/2006/relationships/hyperlink" Target="https://login.consultant.ru/link/?req=doc&amp;base=RLAW417&amp;n=87564&amp;date=05.04.2024&amp;dst=100005&amp;field=134" TargetMode="External"/><Relationship Id="rId40" Type="http://schemas.openxmlformats.org/officeDocument/2006/relationships/hyperlink" Target="https://login.consultant.ru/link/?req=doc&amp;base=RLAW417&amp;n=91614&amp;date=05.04.2024&amp;dst=100005&amp;field=134" TargetMode="External"/><Relationship Id="rId45" Type="http://schemas.openxmlformats.org/officeDocument/2006/relationships/hyperlink" Target="https://login.consultant.ru/link/?req=doc&amp;base=RLAW417&amp;n=99033&amp;date=05.04.2024&amp;dst=100005&amp;field=134" TargetMode="External"/><Relationship Id="rId53" Type="http://schemas.openxmlformats.org/officeDocument/2006/relationships/hyperlink" Target="https://login.consultant.ru/link/?req=doc&amp;base=LAW&amp;n=470713&amp;date=05.04.2024&amp;dst=103281&amp;field=134" TargetMode="External"/><Relationship Id="rId58" Type="http://schemas.openxmlformats.org/officeDocument/2006/relationships/hyperlink" Target="https://login.consultant.ru/link/?req=doc&amp;base=LAW&amp;n=377162&amp;date=05.04.2024&amp;dst=100014&amp;field=134" TargetMode="External"/><Relationship Id="rId66" Type="http://schemas.openxmlformats.org/officeDocument/2006/relationships/hyperlink" Target="https://login.consultant.ru/link/?req=doc&amp;base=RLAW417&amp;n=35004&amp;date=05.04.202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417&amp;n=54475&amp;date=05.04.2024&amp;dst=100005&amp;field=134" TargetMode="External"/><Relationship Id="rId23" Type="http://schemas.openxmlformats.org/officeDocument/2006/relationships/hyperlink" Target="https://login.consultant.ru/link/?req=doc&amp;base=RLAW417&amp;n=65048&amp;date=05.04.2024&amp;dst=100005&amp;field=134" TargetMode="External"/><Relationship Id="rId28" Type="http://schemas.openxmlformats.org/officeDocument/2006/relationships/hyperlink" Target="https://login.consultant.ru/link/?req=doc&amp;base=RLAW417&amp;n=72714&amp;date=05.04.2024&amp;dst=100005&amp;field=134" TargetMode="External"/><Relationship Id="rId36" Type="http://schemas.openxmlformats.org/officeDocument/2006/relationships/hyperlink" Target="https://login.consultant.ru/link/?req=doc&amp;base=RLAW417&amp;n=84005&amp;date=05.04.2024&amp;dst=100005&amp;field=134" TargetMode="External"/><Relationship Id="rId49" Type="http://schemas.openxmlformats.org/officeDocument/2006/relationships/hyperlink" Target="https://login.consultant.ru/link/?req=doc&amp;base=RLAW417&amp;n=108258&amp;date=05.04.2024&amp;dst=100005&amp;field=134" TargetMode="External"/><Relationship Id="rId57" Type="http://schemas.openxmlformats.org/officeDocument/2006/relationships/hyperlink" Target="https://login.consultant.ru/link/?req=doc&amp;base=LAW&amp;n=152506&amp;date=05.04.2024&amp;dst=100007&amp;field=134" TargetMode="External"/><Relationship Id="rId61" Type="http://schemas.openxmlformats.org/officeDocument/2006/relationships/hyperlink" Target="https://login.consultant.ru/link/?req=doc&amp;base=RLAW417&amp;n=68501&amp;date=05.04.2024" TargetMode="External"/><Relationship Id="rId10" Type="http://schemas.openxmlformats.org/officeDocument/2006/relationships/hyperlink" Target="https://login.consultant.ru/link/?req=doc&amp;base=RLAW417&amp;n=45950&amp;date=05.04.2024&amp;dst=100005&amp;field=134" TargetMode="External"/><Relationship Id="rId19" Type="http://schemas.openxmlformats.org/officeDocument/2006/relationships/hyperlink" Target="https://login.consultant.ru/link/?req=doc&amp;base=RLAW417&amp;n=60660&amp;date=05.04.2024&amp;dst=100005&amp;field=134" TargetMode="External"/><Relationship Id="rId31" Type="http://schemas.openxmlformats.org/officeDocument/2006/relationships/hyperlink" Target="https://login.consultant.ru/link/?req=doc&amp;base=RLAW417&amp;n=77237&amp;date=05.04.2024&amp;dst=100005&amp;field=134" TargetMode="External"/><Relationship Id="rId44" Type="http://schemas.openxmlformats.org/officeDocument/2006/relationships/hyperlink" Target="https://login.consultant.ru/link/?req=doc&amp;base=RLAW417&amp;n=97911&amp;date=05.04.2024&amp;dst=100005&amp;field=134" TargetMode="External"/><Relationship Id="rId52" Type="http://schemas.openxmlformats.org/officeDocument/2006/relationships/hyperlink" Target="https://login.consultant.ru/link/?req=doc&amp;base=RLAW417&amp;n=118511&amp;date=05.04.2024&amp;dst=100005&amp;field=134" TargetMode="External"/><Relationship Id="rId60" Type="http://schemas.openxmlformats.org/officeDocument/2006/relationships/hyperlink" Target="https://login.consultant.ru/link/?req=doc&amp;base=LAW&amp;n=357927&amp;date=05.04.2024" TargetMode="External"/><Relationship Id="rId65" Type="http://schemas.openxmlformats.org/officeDocument/2006/relationships/hyperlink" Target="https://login.consultant.ru/link/?req=doc&amp;base=RLAW417&amp;n=34379&amp;date=05.04.20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17&amp;n=43871&amp;date=05.04.2024&amp;dst=100005&amp;field=134" TargetMode="External"/><Relationship Id="rId14" Type="http://schemas.openxmlformats.org/officeDocument/2006/relationships/hyperlink" Target="https://login.consultant.ru/link/?req=doc&amp;base=RLAW417&amp;n=52880&amp;date=05.04.2024&amp;dst=100005&amp;field=134" TargetMode="External"/><Relationship Id="rId22" Type="http://schemas.openxmlformats.org/officeDocument/2006/relationships/hyperlink" Target="https://login.consultant.ru/link/?req=doc&amp;base=RLAW417&amp;n=61765&amp;date=05.04.2024&amp;dst=100005&amp;field=134" TargetMode="External"/><Relationship Id="rId27" Type="http://schemas.openxmlformats.org/officeDocument/2006/relationships/hyperlink" Target="https://login.consultant.ru/link/?req=doc&amp;base=RLAW417&amp;n=72361&amp;date=05.04.2024&amp;dst=100005&amp;field=134" TargetMode="External"/><Relationship Id="rId30" Type="http://schemas.openxmlformats.org/officeDocument/2006/relationships/hyperlink" Target="https://login.consultant.ru/link/?req=doc&amp;base=RLAW417&amp;n=75078&amp;date=05.04.2024&amp;dst=100005&amp;field=134" TargetMode="External"/><Relationship Id="rId35" Type="http://schemas.openxmlformats.org/officeDocument/2006/relationships/hyperlink" Target="https://login.consultant.ru/link/?req=doc&amp;base=RLAW417&amp;n=83109&amp;date=05.04.2024&amp;dst=100005&amp;field=134" TargetMode="External"/><Relationship Id="rId43" Type="http://schemas.openxmlformats.org/officeDocument/2006/relationships/hyperlink" Target="https://login.consultant.ru/link/?req=doc&amp;base=RLAW417&amp;n=95933&amp;date=05.04.2024&amp;dst=100005&amp;field=134" TargetMode="External"/><Relationship Id="rId48" Type="http://schemas.openxmlformats.org/officeDocument/2006/relationships/hyperlink" Target="https://login.consultant.ru/link/?req=doc&amp;base=RLAW417&amp;n=106547&amp;date=05.04.2024&amp;dst=100005&amp;field=134" TargetMode="External"/><Relationship Id="rId56" Type="http://schemas.openxmlformats.org/officeDocument/2006/relationships/hyperlink" Target="https://login.consultant.ru/link/?req=doc&amp;base=LAW&amp;n=398821&amp;date=05.04.2024" TargetMode="External"/><Relationship Id="rId64" Type="http://schemas.openxmlformats.org/officeDocument/2006/relationships/hyperlink" Target="https://login.consultant.ru/link/?req=doc&amp;base=RLAW417&amp;n=33886&amp;date=05.04.2024" TargetMode="External"/><Relationship Id="rId69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417&amp;n=117244&amp;date=05.04.2024&amp;dst=100005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17&amp;n=48645&amp;date=05.04.2024&amp;dst=100005&amp;field=134" TargetMode="External"/><Relationship Id="rId17" Type="http://schemas.openxmlformats.org/officeDocument/2006/relationships/hyperlink" Target="https://login.consultant.ru/link/?req=doc&amp;base=RLAW417&amp;n=57331&amp;date=05.04.2024&amp;dst=100005&amp;field=134" TargetMode="External"/><Relationship Id="rId25" Type="http://schemas.openxmlformats.org/officeDocument/2006/relationships/hyperlink" Target="https://login.consultant.ru/link/?req=doc&amp;base=RLAW417&amp;n=68348&amp;date=05.04.2024&amp;dst=100005&amp;field=134" TargetMode="External"/><Relationship Id="rId33" Type="http://schemas.openxmlformats.org/officeDocument/2006/relationships/hyperlink" Target="https://login.consultant.ru/link/?req=doc&amp;base=RLAW417&amp;n=80738&amp;date=05.04.2024&amp;dst=100005&amp;field=134" TargetMode="External"/><Relationship Id="rId38" Type="http://schemas.openxmlformats.org/officeDocument/2006/relationships/hyperlink" Target="https://login.consultant.ru/link/?req=doc&amp;base=RLAW417&amp;n=89602&amp;date=05.04.2024&amp;dst=100005&amp;field=134" TargetMode="External"/><Relationship Id="rId46" Type="http://schemas.openxmlformats.org/officeDocument/2006/relationships/hyperlink" Target="https://login.consultant.ru/link/?req=doc&amp;base=RLAW417&amp;n=103042&amp;date=05.04.2024&amp;dst=100005&amp;field=134" TargetMode="External"/><Relationship Id="rId59" Type="http://schemas.openxmlformats.org/officeDocument/2006/relationships/hyperlink" Target="https://login.consultant.ru/link/?req=doc&amp;base=RLAW417&amp;n=114348&amp;date=05.04.2024" TargetMode="External"/><Relationship Id="rId67" Type="http://schemas.openxmlformats.org/officeDocument/2006/relationships/hyperlink" Target="https://login.consultant.ru/link/?req=doc&amp;base=RLAW417&amp;n=38407&amp;date=05.04.2024" TargetMode="External"/><Relationship Id="rId20" Type="http://schemas.openxmlformats.org/officeDocument/2006/relationships/hyperlink" Target="https://login.consultant.ru/link/?req=doc&amp;base=RLAW417&amp;n=60509&amp;date=05.04.2024&amp;dst=100005&amp;field=134" TargetMode="External"/><Relationship Id="rId41" Type="http://schemas.openxmlformats.org/officeDocument/2006/relationships/hyperlink" Target="https://login.consultant.ru/link/?req=doc&amp;base=RLAW417&amp;n=93026&amp;date=05.04.2024&amp;dst=100005&amp;field=134" TargetMode="External"/><Relationship Id="rId54" Type="http://schemas.openxmlformats.org/officeDocument/2006/relationships/hyperlink" Target="https://login.consultant.ru/link/?req=doc&amp;base=RLAW417&amp;n=47654&amp;date=05.04.2024" TargetMode="External"/><Relationship Id="rId62" Type="http://schemas.openxmlformats.org/officeDocument/2006/relationships/hyperlink" Target="https://login.consultant.ru/link/?req=doc&amp;base=RLAW417&amp;n=30469&amp;date=05.04.2024" TargetMode="External"/><Relationship Id="rId7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3705</Words>
  <Characters>21122</Characters>
  <Application>Microsoft Office Word</Application>
  <DocSecurity>2</DocSecurity>
  <Lines>176</Lines>
  <Paragraphs>49</Paragraphs>
  <ScaleCrop>false</ScaleCrop>
  <Company>КонсультантПлюс Версия 4023.00.50</Company>
  <LinksUpToDate>false</LinksUpToDate>
  <CharactersWithSpaces>24778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Курской области от 27.09.2013 N 682-па(ред. от 27.02.2024)"Об утверждении государственной программы Курской области "Развитие лесного хозяйства в Курской области"(вместе с "Перечнем утративших силу постановлений Администрации К</dc:title>
  <dc:creator>aseewa.v@yandex.ru</dc:creator>
  <cp:lastModifiedBy>aseewa.v@yandex.ru</cp:lastModifiedBy>
  <cp:revision>2</cp:revision>
  <dcterms:created xsi:type="dcterms:W3CDTF">2024-04-05T09:34:00Z</dcterms:created>
  <dcterms:modified xsi:type="dcterms:W3CDTF">2024-04-05T09:34:00Z</dcterms:modified>
</cp:coreProperties>
</file>