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C" w:rsidRPr="004F2A60" w:rsidRDefault="00E11CBC" w:rsidP="00E11CBC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 w:rsidRPr="004F2A60">
        <w:rPr>
          <w:rFonts w:ascii="Times New Roman" w:hAnsi="Times New Roman" w:cs="Times New Roman"/>
          <w:sz w:val="26"/>
          <w:szCs w:val="26"/>
        </w:rPr>
        <w:t>ПРИЛОЖЕНИЕ №</w:t>
      </w:r>
      <w:r w:rsidR="00C26557">
        <w:rPr>
          <w:rFonts w:ascii="Times New Roman" w:hAnsi="Times New Roman" w:cs="Times New Roman"/>
          <w:sz w:val="26"/>
          <w:szCs w:val="26"/>
        </w:rPr>
        <w:t>5</w:t>
      </w:r>
    </w:p>
    <w:p w:rsidR="00E11CBC" w:rsidRPr="004F2A60" w:rsidRDefault="00E11CBC" w:rsidP="00E11CB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F2A60">
        <w:rPr>
          <w:rFonts w:ascii="Times New Roman" w:hAnsi="Times New Roman"/>
          <w:b/>
          <w:spacing w:val="20"/>
          <w:sz w:val="26"/>
          <w:szCs w:val="26"/>
        </w:rPr>
        <w:t>ПАСПОРТ</w:t>
      </w:r>
    </w:p>
    <w:p w:rsidR="00E11CBC" w:rsidRPr="004F2A60" w:rsidRDefault="00B548FB" w:rsidP="00526699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 xml:space="preserve">структурного проекта </w:t>
      </w:r>
      <w:r w:rsidR="00E11CBC" w:rsidRPr="004F2A60">
        <w:rPr>
          <w:rFonts w:ascii="Times New Roman" w:hAnsi="Times New Roman"/>
          <w:sz w:val="26"/>
          <w:szCs w:val="26"/>
        </w:rPr>
        <w:t>«</w:t>
      </w:r>
      <w:r w:rsidR="00E53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Деловая среда</w:t>
      </w:r>
      <w:r w:rsidR="0056381C" w:rsidRPr="004F2A60">
        <w:rPr>
          <w:rFonts w:ascii="Times New Roman" w:hAnsi="Times New Roman"/>
          <w:sz w:val="26"/>
          <w:szCs w:val="26"/>
        </w:rPr>
        <w:t>»</w:t>
      </w: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2287" w:rsidRPr="004F2A60" w:rsidRDefault="00AE2287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11CBC" w:rsidRPr="004F2A60" w:rsidRDefault="00E11CBC" w:rsidP="0096415A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D52A9" w:rsidRPr="004F2A60" w:rsidRDefault="007D52A9" w:rsidP="007D52A9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790"/>
        <w:gridCol w:w="7594"/>
      </w:tblGrid>
      <w:tr w:rsidR="00E11CBC" w:rsidRPr="004F2A60" w:rsidTr="004F2A60">
        <w:trPr>
          <w:trHeight w:val="516"/>
          <w:jc w:val="center"/>
        </w:trPr>
        <w:tc>
          <w:tcPr>
            <w:tcW w:w="2532" w:type="pct"/>
          </w:tcPr>
          <w:p w:rsidR="00E11CBC" w:rsidRPr="004F2A60" w:rsidRDefault="00E11CBC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Ответственный исполнительный орган Курской области (иной государственный орган, организация)</w:t>
            </w:r>
          </w:p>
          <w:p w:rsidR="00B548FB" w:rsidRPr="004F2A60" w:rsidRDefault="00B548FB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2468" w:type="pct"/>
          </w:tcPr>
          <w:p w:rsidR="004F2A60" w:rsidRPr="004F2A60" w:rsidRDefault="00366263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4F2A60" w:rsidRDefault="00E96AEB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АНО «Центр «Мой бизнес» Курской области»</w:t>
            </w:r>
          </w:p>
          <w:p w:rsidR="00ED3D6F" w:rsidRPr="00F71F86" w:rsidRDefault="00ED3D6F" w:rsidP="004F2A60">
            <w:pPr>
              <w:ind w:firstLine="0"/>
              <w:rPr>
                <w:sz w:val="26"/>
                <w:szCs w:val="26"/>
              </w:rPr>
            </w:pPr>
            <w:r w:rsidRPr="00F71F86">
              <w:rPr>
                <w:sz w:val="26"/>
                <w:szCs w:val="26"/>
              </w:rPr>
              <w:t>АНО «Микрокредитная компания Курской области»</w:t>
            </w:r>
          </w:p>
          <w:p w:rsidR="00ED3D6F" w:rsidRPr="00F71F86" w:rsidRDefault="00ED3D6F" w:rsidP="00ED3D6F">
            <w:pPr>
              <w:ind w:right="48" w:firstLine="7"/>
              <w:jc w:val="both"/>
              <w:rPr>
                <w:sz w:val="26"/>
                <w:szCs w:val="26"/>
              </w:rPr>
            </w:pPr>
            <w:r w:rsidRPr="00F71F86">
              <w:rPr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  <w:p w:rsidR="007D0105" w:rsidRPr="00F71F86" w:rsidRDefault="007D0105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71F86">
              <w:rPr>
                <w:rFonts w:eastAsia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  <w:p w:rsidR="00690355" w:rsidRDefault="00F71F86" w:rsidP="00690355">
            <w:pPr>
              <w:ind w:right="48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Комитет</w:t>
            </w:r>
            <w:r w:rsidRPr="00F71F8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690355" w:rsidRPr="00F71F86">
              <w:rPr>
                <w:rFonts w:eastAsia="Times New Roman" w:cs="Times New Roman"/>
                <w:sz w:val="26"/>
                <w:szCs w:val="26"/>
              </w:rPr>
              <w:t xml:space="preserve">по труду и занятости </w:t>
            </w:r>
            <w:r w:rsidR="00ED3D6F" w:rsidRPr="00F71F86">
              <w:rPr>
                <w:rFonts w:eastAsia="Times New Roman" w:cs="Times New Roman"/>
                <w:sz w:val="26"/>
                <w:szCs w:val="26"/>
              </w:rPr>
              <w:t xml:space="preserve">населения </w:t>
            </w:r>
            <w:r w:rsidR="00690355" w:rsidRPr="00F71F86">
              <w:rPr>
                <w:rFonts w:eastAsia="Times New Roman" w:cs="Times New Roman"/>
                <w:sz w:val="26"/>
                <w:szCs w:val="26"/>
              </w:rPr>
              <w:t>Курской области</w:t>
            </w:r>
          </w:p>
          <w:p w:rsidR="00690355" w:rsidRPr="004F2A60" w:rsidRDefault="00690355" w:rsidP="00690355">
            <w:pPr>
              <w:ind w:firstLine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Министерство физической культуры и спорта Курской области</w:t>
            </w:r>
          </w:p>
        </w:tc>
      </w:tr>
      <w:tr w:rsidR="00E11CBC" w:rsidRPr="004F2A60" w:rsidTr="00444519">
        <w:trPr>
          <w:trHeight w:val="700"/>
          <w:jc w:val="center"/>
        </w:trPr>
        <w:tc>
          <w:tcPr>
            <w:tcW w:w="2532" w:type="pct"/>
            <w:vAlign w:val="center"/>
          </w:tcPr>
          <w:p w:rsidR="00E11CBC" w:rsidRPr="004F2A60" w:rsidRDefault="00526699" w:rsidP="00526699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Наименование стратегического документа</w:t>
            </w:r>
          </w:p>
        </w:tc>
        <w:tc>
          <w:tcPr>
            <w:tcW w:w="2468" w:type="pct"/>
            <w:vAlign w:val="center"/>
          </w:tcPr>
          <w:p w:rsidR="00E11CBC" w:rsidRPr="004F2A60" w:rsidRDefault="00526699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Стратеги</w:t>
            </w:r>
            <w:r w:rsidR="004F2A60">
              <w:rPr>
                <w:sz w:val="26"/>
                <w:szCs w:val="26"/>
              </w:rPr>
              <w:t>я</w:t>
            </w:r>
            <w:r w:rsidRPr="004F2A60">
              <w:rPr>
                <w:sz w:val="26"/>
                <w:szCs w:val="26"/>
              </w:rPr>
              <w:t xml:space="preserve"> развития малого и среднего предпринимательства Курской области на период до 2030 года</w:t>
            </w:r>
          </w:p>
        </w:tc>
      </w:tr>
    </w:tbl>
    <w:p w:rsidR="004F2A60" w:rsidRDefault="004F2A60" w:rsidP="004F2A60">
      <w:pPr>
        <w:keepNext/>
        <w:keepLines/>
        <w:spacing w:after="2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4D6" w:rsidRPr="004F2A60" w:rsidRDefault="0056381C" w:rsidP="004F2A60">
      <w:pPr>
        <w:pStyle w:val="a9"/>
        <w:keepNext/>
        <w:keepLines/>
        <w:numPr>
          <w:ilvl w:val="0"/>
          <w:numId w:val="1"/>
        </w:numPr>
        <w:spacing w:after="2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Стратегические </w:t>
      </w:r>
      <w:r w:rsidR="009F7DD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п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роекта</w:t>
      </w:r>
    </w:p>
    <w:p w:rsidR="008B3CCE" w:rsidRPr="0056381C" w:rsidRDefault="008B3CCE" w:rsidP="00FA2D33">
      <w:pPr>
        <w:keepNext/>
        <w:keepLines/>
        <w:spacing w:after="2"/>
        <w:ind w:left="10" w:right="3446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1"/>
        <w:gridCol w:w="1953"/>
        <w:gridCol w:w="1024"/>
        <w:gridCol w:w="1620"/>
        <w:gridCol w:w="645"/>
        <w:gridCol w:w="565"/>
        <w:gridCol w:w="565"/>
        <w:gridCol w:w="562"/>
        <w:gridCol w:w="565"/>
        <w:gridCol w:w="565"/>
        <w:gridCol w:w="568"/>
        <w:gridCol w:w="3310"/>
        <w:gridCol w:w="2638"/>
      </w:tblGrid>
      <w:tr w:rsidR="00B548FB" w:rsidRPr="00111B12" w:rsidTr="00135E28">
        <w:trPr>
          <w:trHeight w:val="84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spacing w:after="16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spacing w:line="277" w:lineRule="auto"/>
              <w:ind w:left="-214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8B3CCE" w:rsidP="00D82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документов</w:t>
            </w:r>
          </w:p>
        </w:tc>
        <w:tc>
          <w:tcPr>
            <w:tcW w:w="13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показателей по годам </w:t>
            </w:r>
          </w:p>
        </w:tc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за достижение показателя </w:t>
            </w:r>
          </w:p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Основание</w:t>
            </w:r>
            <w:r w:rsidRPr="00B548FB">
              <w:rPr>
                <w:rStyle w:val="a6"/>
                <w:rFonts w:eastAsia="Times New Roman"/>
                <w:color w:val="FFFFFF" w:themeColor="background1"/>
                <w:spacing w:val="-2"/>
                <w:sz w:val="26"/>
                <w:szCs w:val="26"/>
              </w:rPr>
              <w:footnoteReference w:id="1"/>
            </w:r>
          </w:p>
        </w:tc>
      </w:tr>
      <w:tr w:rsidR="00B548FB" w:rsidRPr="00111B12" w:rsidTr="00135E28">
        <w:trPr>
          <w:cantSplit/>
          <w:trHeight w:val="1134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B548FB" w:rsidP="00B548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48FB" w:rsidRPr="00111B12" w:rsidTr="00135E28">
        <w:trPr>
          <w:trHeight w:val="28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548FB" w:rsidRPr="00111B12" w:rsidTr="00135E28">
        <w:trPr>
          <w:cantSplit/>
          <w:trHeight w:val="11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7D01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</w:t>
            </w:r>
            <w:r w:rsidR="00135E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региональных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налоговых преференций для </w:t>
            </w:r>
            <w:r w:rsidR="007D010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отдельных групп субъектов МСП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B3CCE" w:rsidRPr="00B548FB" w:rsidRDefault="00C2025C" w:rsidP="00B548FB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786389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4C0AD2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  <w:r w:rsidR="00786389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86389" w:rsidRPr="00B548FB" w:rsidRDefault="00786389" w:rsidP="004C0AD2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7D0105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Действие региональн</w:t>
            </w:r>
            <w:r w:rsidR="00E96AEB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 налогового законодательства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поддержке </w:t>
            </w:r>
            <w:r w:rsidR="007D0105">
              <w:rPr>
                <w:rFonts w:ascii="Times New Roman" w:eastAsia="Times New Roman" w:hAnsi="Times New Roman" w:cs="Times New Roman"/>
                <w:sz w:val="26"/>
                <w:szCs w:val="26"/>
              </w:rPr>
              <w:t>МСП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2030 года</w:t>
            </w:r>
          </w:p>
        </w:tc>
      </w:tr>
      <w:tr w:rsidR="00B548FB" w:rsidRPr="00111B12" w:rsidTr="00135E28">
        <w:trPr>
          <w:cantSplit/>
          <w:trHeight w:val="3767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7D0105" w:rsidP="00135E28">
            <w:pPr>
              <w:ind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региональных 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инструментов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обеспечению информационной, </w:t>
            </w:r>
            <w:r w:rsidR="00135E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консультационной,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обучающей поддержки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базе Центра «Мой бизнес» </w:t>
            </w:r>
            <w:proofErr w:type="gram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B3CCE" w:rsidRPr="00B548FB" w:rsidRDefault="008B3CCE" w:rsidP="00B548FB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786389" w:rsidP="007D0105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Правила, порядок</w:t>
            </w:r>
            <w:r w:rsidR="007D0105">
              <w:rPr>
                <w:rFonts w:ascii="Times New Roman" w:hAnsi="Times New Roman" w:cs="Times New Roman"/>
                <w:sz w:val="26"/>
                <w:szCs w:val="26"/>
              </w:rPr>
              <w:t>, регламент оказания</w:t>
            </w: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105" w:rsidRPr="00C26557" w:rsidRDefault="008B3CCE" w:rsidP="007D0105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промышленности, торговли и </w:t>
            </w:r>
            <w:r w:rsidRPr="00C2655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</w:t>
            </w:r>
            <w:r w:rsidR="00B548FB" w:rsidRPr="00C26557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принимательства Курской области</w:t>
            </w:r>
          </w:p>
          <w:p w:rsidR="00C26557" w:rsidRPr="00C26557" w:rsidRDefault="00C26557" w:rsidP="00C26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557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8B3CCE" w:rsidRPr="00B548FB" w:rsidRDefault="008B3CCE" w:rsidP="007D0105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7D0105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Консультационные и образовательные услуги, оказываемые организаци</w:t>
            </w:r>
            <w:r w:rsidR="007D0105">
              <w:rPr>
                <w:rFonts w:ascii="Times New Roman" w:eastAsia="Times New Roman" w:hAnsi="Times New Roman" w:cs="Times New Roman"/>
                <w:sz w:val="26"/>
                <w:szCs w:val="26"/>
              </w:rPr>
              <w:t>ей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инфраструктуры поддержки </w:t>
            </w:r>
            <w:r w:rsid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МСП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, в рамках национальных проектов, государственных программ</w:t>
            </w:r>
          </w:p>
        </w:tc>
      </w:tr>
      <w:tr w:rsidR="00536FE4" w:rsidRPr="004F2A60" w:rsidTr="00536FE4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субъектов МСП,  физических лиц, заинтересованных в </w:t>
            </w:r>
            <w:proofErr w:type="gramStart"/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начале</w:t>
            </w:r>
            <w:proofErr w:type="gramEnd"/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осуществления предпринимательской деятельности и самозанятых граждан, получивших государственную поддержку инфраструктуры поддержки МСП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тыс. ед.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36FE4" w:rsidRPr="00536FE4" w:rsidRDefault="00536FE4" w:rsidP="00536FE4">
            <w:pPr>
              <w:ind w:left="113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Правила, порядок, регламент оказания поддержки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9D00B0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9D00B0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9D00B0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9D00B0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9D00B0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9D00B0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9D00B0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536FE4" w:rsidRPr="00536FE4" w:rsidRDefault="00536FE4" w:rsidP="00536FE4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536FE4" w:rsidRPr="00536FE4" w:rsidRDefault="00536FE4" w:rsidP="00536FE4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  <w:p w:rsidR="00536FE4" w:rsidRPr="00536FE4" w:rsidRDefault="00536FE4" w:rsidP="00536FE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организаций инфраструктуры поддержки МСП</w:t>
            </w:r>
          </w:p>
        </w:tc>
      </w:tr>
      <w:tr w:rsidR="00536FE4" w:rsidRPr="004F2A60" w:rsidTr="00135E28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образовательных, разъяснительных, просветительских мероприятий по предпринимательским компетенциям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36FE4" w:rsidRPr="00536FE4" w:rsidRDefault="00536FE4" w:rsidP="00536FE4">
            <w:pPr>
              <w:ind w:left="113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Правила, порядок, регламент оказания поддержки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536FE4" w:rsidRPr="00536FE4" w:rsidRDefault="00536FE4" w:rsidP="00536FE4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536FE4" w:rsidRPr="00536FE4" w:rsidRDefault="00536FE4" w:rsidP="00536FE4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  <w:p w:rsidR="00536FE4" w:rsidRPr="004F2A60" w:rsidRDefault="00536FE4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организаций инфраструктуры поддержки МСП</w:t>
            </w:r>
          </w:p>
        </w:tc>
      </w:tr>
      <w:tr w:rsidR="00536FE4" w:rsidRPr="004F2A60" w:rsidTr="00135E28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536FE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принявших участие в  образовательных, разъяснительных, просветительских </w:t>
            </w:r>
            <w:proofErr w:type="gramStart"/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мероприятиях</w:t>
            </w:r>
            <w:proofErr w:type="gramEnd"/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предпринимательским компетенциям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36FE4" w:rsidRPr="00536FE4" w:rsidRDefault="00536FE4" w:rsidP="00536FE4">
            <w:pPr>
              <w:ind w:left="113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Правила, порядок, регламент оказания поддержки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9D00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D00B0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9D00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D00B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9D00B0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9D00B0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9D00B0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9D00B0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9D00B0" w:rsidP="00536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536FE4" w:rsidRPr="00536FE4" w:rsidRDefault="00536FE4" w:rsidP="00536FE4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536FE4" w:rsidRPr="00536FE4" w:rsidRDefault="00536FE4" w:rsidP="00536FE4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организаций инфраструктуры поддержки МСП</w:t>
            </w:r>
          </w:p>
        </w:tc>
      </w:tr>
      <w:tr w:rsidR="00536FE4" w:rsidRPr="004F2A60" w:rsidTr="00135E28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536FE4" w:rsidRDefault="00536FE4" w:rsidP="00536F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инфраструктурной площадки для формирования отраслевых, межотраслевых,</w:t>
            </w:r>
          </w:p>
          <w:p w:rsidR="00536FE4" w:rsidRPr="00536FE4" w:rsidRDefault="00536FE4" w:rsidP="00536FE4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кластерных сообществ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36FE4" w:rsidRPr="004F2A60" w:rsidRDefault="00536FE4" w:rsidP="00536FE4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Соглашения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26557" w:rsidRDefault="00536FE4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промышленности, торговли и предпринимательства Курской </w:t>
            </w:r>
            <w:r w:rsidRPr="00C265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области </w:t>
            </w:r>
          </w:p>
          <w:p w:rsidR="00536FE4" w:rsidRPr="00C26557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557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536FE4" w:rsidRPr="004F2A60" w:rsidRDefault="00536FE4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региональной инфраструктуры поддержки МСП</w:t>
            </w:r>
          </w:p>
        </w:tc>
      </w:tr>
      <w:tr w:rsidR="00536FE4" w:rsidRPr="004F2A60" w:rsidTr="009D00B0">
        <w:trPr>
          <w:cantSplit/>
          <w:trHeight w:val="168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9D00B0" w:rsidP="00536FE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536FE4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стандартов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клиентоцентричности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МСП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36FE4" w:rsidRPr="004F2A60" w:rsidRDefault="00536FE4" w:rsidP="00536FE4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акт, приказ, положение, порядок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9D00B0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C265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промышленности, торговли и предпринимательства Курской области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536FE4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Утвержденный стандарт</w:t>
            </w:r>
          </w:p>
        </w:tc>
      </w:tr>
      <w:tr w:rsidR="00536FE4" w:rsidRPr="004F2A60" w:rsidTr="00135E28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9D00B0" w:rsidP="00536FE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536FE4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инструментов обеспечения справедливой конкуренции, в том числе за счет снижения доли теневого бизнеса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36FE4" w:rsidRPr="004F2A60" w:rsidRDefault="00536FE4" w:rsidP="00536FE4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536FE4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акт, приказ, положение, порядок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4F2A60" w:rsidRDefault="00536FE4" w:rsidP="0053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Pr="00C26557" w:rsidRDefault="00536FE4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C265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промышленности, торговли и предпринимательства Курской области </w:t>
            </w:r>
          </w:p>
          <w:p w:rsidR="00536FE4" w:rsidRDefault="00F71F86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="00536FE4" w:rsidRPr="00F71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труду и занятости </w:t>
            </w:r>
            <w:r w:rsidR="00ED3D6F" w:rsidRPr="00F71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населения </w:t>
            </w:r>
            <w:r w:rsidR="00536FE4" w:rsidRPr="00F71F86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536FE4" w:rsidRPr="004F2A60" w:rsidRDefault="00536FE4" w:rsidP="00536F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физической культуры и спорта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E4" w:rsidRDefault="00536FE4" w:rsidP="00536FE4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по снижению неформальной занятости в сфере МСП</w:t>
            </w:r>
          </w:p>
        </w:tc>
      </w:tr>
    </w:tbl>
    <w:p w:rsidR="004F2A60" w:rsidRPr="004F2A60" w:rsidRDefault="004F2A60" w:rsidP="0056381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81C" w:rsidRPr="004F2A60" w:rsidRDefault="0056381C" w:rsidP="0056381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  <w:r w:rsidR="00AE2287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стратегических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TableGrid"/>
        <w:tblW w:w="1460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35"/>
        <w:gridCol w:w="5277"/>
        <w:gridCol w:w="2126"/>
        <w:gridCol w:w="6663"/>
      </w:tblGrid>
      <w:tr w:rsidR="00336910" w:rsidRPr="004F2A60" w:rsidTr="0074771C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444519">
            <w:pPr>
              <w:spacing w:after="16"/>
              <w:ind w:lef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Тип (задачи)</w:t>
            </w:r>
            <w:r w:rsidRPr="004F2A6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8B1B0E" w:rsidP="008B1B0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7B6BAC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омментарий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r w:rsidR="00336910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336910" w:rsidRPr="004F2A60" w:rsidTr="007822B5">
        <w:trPr>
          <w:trHeight w:val="780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910" w:rsidRPr="004F2A60" w:rsidRDefault="008920A2" w:rsidP="007822B5">
            <w:pPr>
              <w:ind w:lef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целях формирования благоприятных условий для открытия, ведения и развития бизнеса </w:t>
            </w:r>
            <w:r w:rsid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подлежат выполнению</w:t>
            </w:r>
            <w:r w:rsidR="00336910" w:rsidRP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следующие задачи:</w:t>
            </w:r>
          </w:p>
        </w:tc>
      </w:tr>
      <w:tr w:rsidR="00336910" w:rsidRPr="004F2A60" w:rsidTr="004F2A60">
        <w:trPr>
          <w:trHeight w:val="19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336910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336910" w:rsidP="00F40DC1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1</w:t>
            </w:r>
          </w:p>
          <w:p w:rsidR="00336910" w:rsidRPr="004F2A60" w:rsidRDefault="0040078A" w:rsidP="0040078A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</w:t>
            </w:r>
            <w:r w:rsidR="00DF333F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аличи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DF333F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F33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региональных </w:t>
            </w:r>
            <w:r w:rsidR="00DF333F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налоговых преференций для </w:t>
            </w:r>
            <w:r w:rsidR="00DF333F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отдельных групп субъектов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3F" w:rsidRDefault="00DF333F" w:rsidP="0048371A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Налоговые льготы для отдельных групп налогоплательщиков – субъектов МСП могут выполнять стимулирующую, поддерживающую, компенсационную функции.</w:t>
            </w:r>
            <w:r w:rsidR="00483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Данная мера позволяет оперативно реагировать на изменения внешней среды, не требует авансированных финансовых затрат со стороны государства, носит отложенный характер недополученных в перспективе доходов</w:t>
            </w:r>
            <w:r w:rsidR="0048371A">
              <w:rPr>
                <w:rFonts w:ascii="Times New Roman" w:hAnsi="Times New Roman" w:cs="Times New Roman"/>
                <w:sz w:val="26"/>
                <w:szCs w:val="26"/>
              </w:rPr>
              <w:t>, таким образом обеспечивает результат в текущем периоде за счет возможных финансовых недоимок в будущих периодах.</w:t>
            </w:r>
          </w:p>
          <w:p w:rsidR="0048371A" w:rsidRPr="004F2A60" w:rsidRDefault="0048371A" w:rsidP="0048371A">
            <w:pPr>
              <w:pStyle w:val="ConsPlusNonformat"/>
              <w:ind w:firstLine="567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настоящее время на территории Курской области действуют налоговые преференции по патентной и упрощенной системах налогообложения в рамках региональных законов. Задача нацелена на поддержание наличия льгот, мониторинг их актуальности и эффективности, принятие решений о корректировке целевых групп – получателей льгот, размера преференций, налоговых режимов, в рамках которых используется  льготирование. </w:t>
            </w:r>
          </w:p>
        </w:tc>
      </w:tr>
      <w:tr w:rsidR="009D00B0" w:rsidRPr="004F2A60" w:rsidTr="00D05E84">
        <w:trPr>
          <w:trHeight w:val="25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2</w:t>
            </w:r>
          </w:p>
          <w:p w:rsidR="009D00B0" w:rsidRPr="004F2A60" w:rsidRDefault="009D00B0" w:rsidP="0040078A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наличия региональных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инструментов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обеспечению информационной,  консультационной, обучающей поддержки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базе Центра «Мой бизнес»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0B0" w:rsidRPr="004F2A60" w:rsidRDefault="009D00B0" w:rsidP="0073494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финансовых компетенций в современном обществе принимает широкий спектр институтов власти, государственных и  общественных структур. Обучение финансовой грамотности проводится не только в общеобразовательных, но и дошкольных учреждениях. При этом важной особенностью является, то что программы носят в большей степени потребительский характер, нацеленный на формирование компетенций гражданина как потребителя финансовых услуг. Предпринимательские же компетенции более специфичны и узконаправлены. Более того, в зависимости от вида осуществляемой деятельности субъектом предпринимательства, от его конкретных потребностей формируется запрос на получение специализированных знаний, умений, компетенций. В этом случае важна возможность оперативного доступа к источнику их получения.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Наличие единой, постоянно действующей точки доступа к информационной,  консультационной, обучающей поддержки по предпринимательским компетенциям, в том числе в соответствии с запросом клиента, является бесспорным преимуществом инфраструктуры поддержки бизнеса.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Реализация инструментов по обеспечению информационной,  консультационной, обучающей поддержки</w:t>
            </w: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будет осуществляться </w:t>
            </w: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</w:t>
            </w: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Центра «Мой бизнес»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единого органа организации инфраструктуры поддержки субъектов МСП Курской области.</w:t>
            </w:r>
          </w:p>
        </w:tc>
      </w:tr>
      <w:tr w:rsidR="009D00B0" w:rsidRPr="004F2A60" w:rsidTr="00D05E84">
        <w:trPr>
          <w:trHeight w:val="9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8667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9D00B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-5</w:t>
            </w:r>
          </w:p>
          <w:p w:rsidR="009D00B0" w:rsidRPr="009D00B0" w:rsidRDefault="009D00B0" w:rsidP="008667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0B0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охвата граждан мерами поддержки инфраструктуры поддержки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7A6FC3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36910" w:rsidRPr="004F2A60" w:rsidTr="004F2A60">
        <w:trPr>
          <w:trHeight w:val="9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9D00B0" w:rsidP="00866734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336910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9D00B0" w:rsidP="0086673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6</w:t>
            </w:r>
          </w:p>
          <w:p w:rsidR="00336910" w:rsidRPr="004F2A60" w:rsidRDefault="0040078A" w:rsidP="004007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</w:t>
            </w:r>
            <w:r w:rsidR="00734943">
              <w:rPr>
                <w:rFonts w:ascii="Times New Roman" w:eastAsia="Times New Roman" w:hAnsi="Times New Roman" w:cs="Times New Roman"/>
                <w:sz w:val="26"/>
                <w:szCs w:val="26"/>
              </w:rPr>
              <w:t>аличи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73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инфраструктурной площадки для формирования отраслевых, межотраслевых,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3494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кластерных сообществ</w:t>
            </w:r>
            <w:r w:rsidR="00734943" w:rsidRPr="004F2A6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3" w:rsidRPr="007A6FC3" w:rsidRDefault="000C3E0A" w:rsidP="007A6FC3">
            <w:pPr>
              <w:pStyle w:val="Default"/>
              <w:jc w:val="both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 xml:space="preserve">   </w:t>
            </w:r>
            <w:r w:rsidR="005D2B81" w:rsidRPr="004F2A60">
              <w:rPr>
                <w:sz w:val="26"/>
                <w:szCs w:val="26"/>
              </w:rPr>
              <w:t xml:space="preserve">  </w:t>
            </w:r>
            <w:r w:rsidR="007A6FC3" w:rsidRPr="007A6FC3">
              <w:rPr>
                <w:sz w:val="26"/>
                <w:szCs w:val="26"/>
              </w:rPr>
              <w:t>Роль бизнес-объединений в экономике и социальной сфере страны и регионов постоянно растет.</w:t>
            </w:r>
          </w:p>
          <w:p w:rsidR="007A6FC3" w:rsidRPr="007A6FC3" w:rsidRDefault="007A6FC3" w:rsidP="007A6FC3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A6FC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Бизнес-</w:t>
            </w:r>
            <w:proofErr w:type="spellStart"/>
            <w:r w:rsidRPr="007A6FC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комьюнити</w:t>
            </w:r>
            <w:proofErr w:type="spellEnd"/>
            <w:r w:rsidRPr="007A6FC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формируют коллективы</w:t>
            </w:r>
            <w:r w:rsidR="00734943" w:rsidRPr="0073494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предпринимателей</w:t>
            </w:r>
            <w:r w:rsidRPr="007A6FC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по определенным общим признакам: отраслевым (консорциумы), целеполагающим, возрастным (молодежное предпринимательство, предприниматели серебряного возраста), социальным (женское предпринимательство, семейный бизнес) и т.д.</w:t>
            </w:r>
            <w:r w:rsidR="00734943" w:rsidRPr="0073494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</w:p>
          <w:p w:rsidR="007A6FC3" w:rsidRPr="007A6FC3" w:rsidRDefault="007A6FC3" w:rsidP="007A6FC3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A6FC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Коллективная форма работы позволяет сохранить индивидуальную аутентичность при наличии групповых плюсов: поддержание здоровой конкуренции, коллективное решение вопросов, формирование единой повестки при обращении в органам государственной власти федерального, регионального или местного уровня.</w:t>
            </w:r>
          </w:p>
        </w:tc>
      </w:tr>
      <w:tr w:rsidR="00BD485E" w:rsidRPr="004F2A60" w:rsidTr="004F2A60">
        <w:trPr>
          <w:trHeight w:val="9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5E" w:rsidRPr="004F2A60" w:rsidRDefault="009D00B0" w:rsidP="008667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D48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5E" w:rsidRPr="004F2A60" w:rsidRDefault="00BD485E" w:rsidP="00BD485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 w:rsidR="009D00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:rsidR="00BD485E" w:rsidRPr="004F2A60" w:rsidRDefault="0040078A" w:rsidP="0086673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</w:t>
            </w:r>
            <w:r w:rsidR="00BD4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стандарта </w:t>
            </w:r>
            <w:proofErr w:type="spellStart"/>
            <w:r w:rsidR="00BD485E">
              <w:rPr>
                <w:rFonts w:ascii="Times New Roman" w:eastAsia="Times New Roman" w:hAnsi="Times New Roman" w:cs="Times New Roman"/>
                <w:sz w:val="26"/>
                <w:szCs w:val="26"/>
              </w:rPr>
              <w:t>клиентоцентричности</w:t>
            </w:r>
            <w:proofErr w:type="spellEnd"/>
            <w:r w:rsidR="00BD4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5E" w:rsidRPr="004F2A60" w:rsidRDefault="00BD485E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5E" w:rsidRDefault="00BD485E" w:rsidP="00690355">
            <w:pPr>
              <w:pStyle w:val="Default"/>
              <w:ind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стандартизации предоставления услуг на основе </w:t>
            </w:r>
            <w:proofErr w:type="spellStart"/>
            <w:r>
              <w:rPr>
                <w:sz w:val="26"/>
                <w:szCs w:val="26"/>
              </w:rPr>
              <w:t>клиентоцентричности</w:t>
            </w:r>
            <w:proofErr w:type="spellEnd"/>
            <w:r>
              <w:rPr>
                <w:sz w:val="26"/>
                <w:szCs w:val="26"/>
              </w:rPr>
              <w:t xml:space="preserve"> является одним из приоритетов государственной политики по взаимодействию с внутренним и внешним клиентом.</w:t>
            </w:r>
          </w:p>
          <w:p w:rsidR="00BD485E" w:rsidRPr="004F2A60" w:rsidRDefault="00BD485E" w:rsidP="007A6FC3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Клиентоориентированность</w:t>
            </w:r>
            <w:proofErr w:type="spellEnd"/>
            <w:r>
              <w:rPr>
                <w:sz w:val="26"/>
                <w:szCs w:val="26"/>
              </w:rPr>
              <w:t xml:space="preserve"> при оказании мер государственной поддержки позволяет с одной стороны снизить административные барьеры, с другой повысить лояльность предпринимателей к органам власти и инфраструктуре поддержки бизнеса, что позволяет расширить охват хозяйствующих субъектов мерами государственной поддержки.</w:t>
            </w:r>
          </w:p>
        </w:tc>
      </w:tr>
      <w:tr w:rsidR="00690355" w:rsidRPr="004F2A60" w:rsidTr="004F2A60">
        <w:trPr>
          <w:trHeight w:val="9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5" w:rsidRDefault="009D00B0" w:rsidP="008667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9035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5" w:rsidRDefault="009D00B0" w:rsidP="00BD485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№8</w:t>
            </w:r>
          </w:p>
          <w:p w:rsidR="00690355" w:rsidRPr="004F2A60" w:rsidRDefault="00690355" w:rsidP="0069035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справедливой конкуренции за счет снижения доли теневого бизнеса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5" w:rsidRPr="004F2A60" w:rsidRDefault="00690355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5" w:rsidRDefault="00690355" w:rsidP="00690355">
            <w:pPr>
              <w:pStyle w:val="Default"/>
              <w:ind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данным Росстата число занятых в неформальном секторе экономики области граждан в возрасте от 15 лет за 2022 год составил 101,9 тыс. чел.</w:t>
            </w:r>
          </w:p>
          <w:p w:rsidR="00690355" w:rsidRDefault="00690355" w:rsidP="00690355">
            <w:pPr>
              <w:pStyle w:val="Default"/>
              <w:ind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Функционирование бизнеса вне правового поля создает условия несправедливой конкуренции на рынке. Себестоимость товаров, работ и услуг легализованных предпринимателей объективно выше, чем теневого сектора, в связи с чем создаются предпосылки нарушения прав и законных интересов ответственных налогоплательщиков и работодателей. </w:t>
            </w:r>
          </w:p>
        </w:tc>
      </w:tr>
    </w:tbl>
    <w:p w:rsidR="004F2A60" w:rsidRPr="004F2A60" w:rsidRDefault="004F2A60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E11CBC" w:rsidRPr="004F2A60" w:rsidRDefault="009F7DD3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4</w:t>
      </w:r>
      <w:r w:rsidR="00E11CBC"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. План реализации </w:t>
      </w:r>
    </w:p>
    <w:tbl>
      <w:tblPr>
        <w:tblStyle w:val="TableGrid"/>
        <w:tblW w:w="1529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2976"/>
        <w:gridCol w:w="3544"/>
        <w:gridCol w:w="4281"/>
      </w:tblGrid>
      <w:tr w:rsidR="004C0AD2" w:rsidRPr="004F2A60" w:rsidTr="004F2A60">
        <w:trPr>
          <w:trHeight w:val="1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6C66C2" w:rsidP="00444519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  <w:r w:rsidR="004C0AD2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44519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окончания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контрольного события</w:t>
            </w:r>
          </w:p>
          <w:p w:rsidR="004C0AD2" w:rsidRPr="004F2A60" w:rsidRDefault="004C0AD2" w:rsidP="0044451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122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887B5D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</w:t>
            </w:r>
            <w:r w:rsidR="004C0AD2" w:rsidRPr="004F2A60">
              <w:rPr>
                <w:rStyle w:val="a6"/>
                <w:rFonts w:eastAsia="Times New Roman"/>
                <w:color w:val="FFFFFF" w:themeColor="background1"/>
                <w:sz w:val="26"/>
                <w:szCs w:val="26"/>
              </w:rPr>
              <w:footnoteReference w:id="3"/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контрольного события </w:t>
            </w:r>
          </w:p>
          <w:p w:rsidR="004C0AD2" w:rsidRPr="004F2A60" w:rsidRDefault="004C0AD2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Pr="004F2A60" w:rsidRDefault="00417530" w:rsidP="004C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1</w:t>
            </w:r>
          </w:p>
          <w:p w:rsidR="004C0AD2" w:rsidRPr="004F2A60" w:rsidRDefault="008B7721" w:rsidP="0078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наличия</w:t>
            </w:r>
            <w:r w:rsidR="00BD485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D4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региональных </w:t>
            </w:r>
            <w:r w:rsidR="00BD485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налоговых преференций для </w:t>
            </w:r>
            <w:r w:rsidR="00BD485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отдельных групп субъектов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Default="00417530" w:rsidP="00417530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>Министерство</w:t>
            </w:r>
            <w:r w:rsidR="004C0AD2" w:rsidRPr="004F2A60">
              <w:rPr>
                <w:rFonts w:eastAsia="Times New Roman"/>
                <w:sz w:val="26"/>
                <w:szCs w:val="26"/>
              </w:rPr>
              <w:t xml:space="preserve"> </w:t>
            </w:r>
            <w:r w:rsidR="004C0AD2"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BD485E" w:rsidRPr="004F2A60" w:rsidRDefault="00BD485E" w:rsidP="00417530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417530" w:rsidRPr="004F2A60" w:rsidRDefault="00BD485E" w:rsidP="004F2A60">
            <w:pPr>
              <w:pStyle w:val="Default"/>
              <w:jc w:val="center"/>
              <w:rPr>
                <w:sz w:val="26"/>
                <w:szCs w:val="26"/>
              </w:rPr>
            </w:pPr>
            <w:r w:rsidRPr="00B548FB">
              <w:rPr>
                <w:rFonts w:eastAsia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B1243C" w:rsidP="0044451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072B1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B1243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</w:t>
            </w:r>
            <w:r w:rsidR="001225DB" w:rsidRPr="004F2A60">
              <w:rPr>
                <w:rFonts w:eastAsia="Times New Roman"/>
                <w:b/>
                <w:i/>
                <w:sz w:val="26"/>
                <w:szCs w:val="26"/>
              </w:rPr>
              <w:t>онтрольное событие</w:t>
            </w:r>
          </w:p>
          <w:p w:rsidR="009072B1" w:rsidRPr="004F2A60" w:rsidRDefault="00BD485E" w:rsidP="00BD485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Мониторинг актуальности и эффективности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региональных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налоговых преференций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9072B1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5E" w:rsidRDefault="00BD485E" w:rsidP="00BD485E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BD485E" w:rsidRPr="004F2A60" w:rsidRDefault="00BD485E" w:rsidP="00BD485E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9072B1" w:rsidRPr="004F2A60" w:rsidRDefault="00BD485E" w:rsidP="00BD485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BD485E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9072B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2</w:t>
            </w:r>
          </w:p>
          <w:p w:rsidR="00475543" w:rsidRPr="004F2A60" w:rsidRDefault="008B7721" w:rsidP="004F2A60">
            <w:pPr>
              <w:ind w:lef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наличия</w:t>
            </w:r>
            <w:r w:rsidR="007131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региональных </w:t>
            </w:r>
            <w:r w:rsidR="0071311D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инструментов </w:t>
            </w:r>
            <w:r w:rsidR="0071311D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обеспечению информационной,  консультационной, обучающей поддержки</w:t>
            </w:r>
            <w:r w:rsidR="0071311D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базе Центра «Мой бизнес»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F71F86" w:rsidRDefault="00475543" w:rsidP="0005390F">
            <w:pPr>
              <w:pStyle w:val="Default"/>
              <w:jc w:val="center"/>
              <w:rPr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F71F86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40078A" w:rsidRPr="00F71F86" w:rsidRDefault="0040078A" w:rsidP="0005390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475543" w:rsidRPr="00F71F86" w:rsidRDefault="00475543" w:rsidP="0005390F">
            <w:pPr>
              <w:pStyle w:val="Default"/>
              <w:jc w:val="center"/>
              <w:rPr>
                <w:sz w:val="26"/>
                <w:szCs w:val="26"/>
              </w:rPr>
            </w:pPr>
            <w:r w:rsidRPr="00F71F86">
              <w:rPr>
                <w:sz w:val="26"/>
                <w:szCs w:val="26"/>
              </w:rPr>
              <w:t>АНО</w:t>
            </w:r>
            <w:r w:rsidR="00ED3D6F" w:rsidRPr="00F71F86">
              <w:rPr>
                <w:sz w:val="26"/>
                <w:szCs w:val="26"/>
              </w:rPr>
              <w:t xml:space="preserve"> «Центр</w:t>
            </w:r>
          </w:p>
          <w:p w:rsidR="00475543" w:rsidRPr="00F71F86" w:rsidRDefault="00ED3D6F" w:rsidP="0005390F">
            <w:pPr>
              <w:pStyle w:val="Default"/>
              <w:jc w:val="center"/>
              <w:rPr>
                <w:sz w:val="26"/>
                <w:szCs w:val="26"/>
              </w:rPr>
            </w:pPr>
            <w:r w:rsidRPr="00F71F86">
              <w:rPr>
                <w:sz w:val="26"/>
                <w:szCs w:val="26"/>
              </w:rPr>
              <w:t>«Мой бизнес</w:t>
            </w:r>
            <w:r w:rsidR="00475543" w:rsidRPr="00F71F86">
              <w:rPr>
                <w:sz w:val="26"/>
                <w:szCs w:val="26"/>
              </w:rPr>
              <w:t>»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78638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40078A" w:rsidRPr="004F2A60" w:rsidRDefault="0040078A" w:rsidP="0040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Оказана информационная, к</w:t>
            </w:r>
            <w:r w:rsidR="00475543" w:rsidRPr="004F2A60">
              <w:rPr>
                <w:rFonts w:ascii="Times New Roman" w:hAnsi="Times New Roman" w:cs="Times New Roman"/>
                <w:sz w:val="26"/>
                <w:szCs w:val="26"/>
              </w:rPr>
              <w:t>онсультационная, образовательная поддержка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 базе Центра «Мой бизнес»</w:t>
            </w:r>
          </w:p>
          <w:p w:rsidR="00475543" w:rsidRPr="004F2A60" w:rsidRDefault="00475543" w:rsidP="00475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047DD" w:rsidRPr="004F2A60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86" w:rsidRPr="00F71F86" w:rsidRDefault="00F71F86" w:rsidP="00F71F86">
            <w:pPr>
              <w:pStyle w:val="Default"/>
              <w:jc w:val="center"/>
              <w:rPr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F71F86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F71F86" w:rsidRPr="00F71F86" w:rsidRDefault="00F71F86" w:rsidP="0005390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475543" w:rsidRPr="00F71F86" w:rsidRDefault="00475543" w:rsidP="0005390F">
            <w:pPr>
              <w:pStyle w:val="Default"/>
              <w:jc w:val="center"/>
              <w:rPr>
                <w:sz w:val="26"/>
                <w:szCs w:val="26"/>
              </w:rPr>
            </w:pPr>
            <w:r w:rsidRPr="00F71F86">
              <w:rPr>
                <w:sz w:val="26"/>
                <w:szCs w:val="26"/>
              </w:rPr>
              <w:t>АНО</w:t>
            </w:r>
            <w:r w:rsidR="00ED3D6F" w:rsidRPr="00F71F86">
              <w:rPr>
                <w:sz w:val="26"/>
                <w:szCs w:val="26"/>
              </w:rPr>
              <w:t xml:space="preserve"> «Центр</w:t>
            </w:r>
          </w:p>
          <w:p w:rsidR="00475543" w:rsidRPr="00F71F86" w:rsidRDefault="00ED3D6F" w:rsidP="0005390F">
            <w:pPr>
              <w:pStyle w:val="Default"/>
              <w:jc w:val="center"/>
              <w:rPr>
                <w:sz w:val="26"/>
                <w:szCs w:val="26"/>
              </w:rPr>
            </w:pPr>
            <w:r w:rsidRPr="00F71F86">
              <w:rPr>
                <w:sz w:val="26"/>
                <w:szCs w:val="26"/>
              </w:rPr>
              <w:t>«Мой бизнес</w:t>
            </w:r>
            <w:r w:rsidR="00475543" w:rsidRPr="00F71F86">
              <w:rPr>
                <w:sz w:val="26"/>
                <w:szCs w:val="26"/>
              </w:rPr>
              <w:t>» Курской области»</w:t>
            </w:r>
          </w:p>
          <w:p w:rsidR="00475543" w:rsidRPr="00F71F86" w:rsidRDefault="00475543" w:rsidP="0005390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9D00B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-5</w:t>
            </w:r>
          </w:p>
          <w:p w:rsidR="009D00B0" w:rsidRPr="004F2A60" w:rsidRDefault="009D00B0" w:rsidP="009D00B0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9D00B0">
              <w:rPr>
                <w:rFonts w:eastAsia="Times New Roman"/>
                <w:sz w:val="26"/>
                <w:szCs w:val="26"/>
              </w:rPr>
              <w:t>Увеличение охвата граждан мерами поддержки инфраструктуры поддержки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B1243C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536FE4" w:rsidRDefault="009D00B0" w:rsidP="009D00B0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9D00B0" w:rsidRPr="00536FE4" w:rsidRDefault="009D00B0" w:rsidP="009D00B0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9D00B0" w:rsidRPr="009D00B0" w:rsidRDefault="009D00B0" w:rsidP="009D00B0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4F2A6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9D00B0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9D00B0" w:rsidRPr="009D00B0" w:rsidRDefault="009D00B0" w:rsidP="007A4BF9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Предоставлены меры госуда</w:t>
            </w:r>
            <w:r w:rsidRPr="009D00B0">
              <w:rPr>
                <w:rFonts w:eastAsia="Times New Roman"/>
                <w:sz w:val="26"/>
                <w:szCs w:val="26"/>
              </w:rPr>
              <w:t>р</w:t>
            </w:r>
            <w:r>
              <w:rPr>
                <w:rFonts w:eastAsia="Times New Roman"/>
                <w:sz w:val="26"/>
                <w:szCs w:val="26"/>
              </w:rPr>
              <w:t>с</w:t>
            </w:r>
            <w:r w:rsidRPr="009D00B0">
              <w:rPr>
                <w:rFonts w:eastAsia="Times New Roman"/>
                <w:sz w:val="26"/>
                <w:szCs w:val="26"/>
              </w:rPr>
              <w:t>твенной поддержки</w:t>
            </w:r>
            <w:r>
              <w:rPr>
                <w:rFonts w:eastAsia="Times New Roman"/>
                <w:sz w:val="26"/>
                <w:szCs w:val="26"/>
              </w:rPr>
              <w:t xml:space="preserve"> организациями инфраструктуры поддержки МСП</w:t>
            </w:r>
          </w:p>
          <w:p w:rsidR="009D00B0" w:rsidRPr="009D00B0" w:rsidRDefault="009D00B0" w:rsidP="007A4BF9">
            <w:pPr>
              <w:pStyle w:val="Default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9D00B0" w:rsidRPr="00B1243C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536FE4" w:rsidRDefault="009D00B0" w:rsidP="009D00B0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9D00B0" w:rsidRPr="00536FE4" w:rsidRDefault="009D00B0" w:rsidP="009D00B0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9D00B0" w:rsidRPr="009D00B0" w:rsidRDefault="009D00B0" w:rsidP="009D00B0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FE4">
              <w:rPr>
                <w:rFonts w:ascii="Times New Roman" w:hAnsi="Times New Roman" w:cs="Times New Roman"/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4F2A6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194735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6</w:t>
            </w:r>
          </w:p>
          <w:p w:rsidR="009D00B0" w:rsidRPr="004F2A60" w:rsidRDefault="009D00B0" w:rsidP="00194735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9D00B0" w:rsidRPr="004F2A60" w:rsidRDefault="009D00B0" w:rsidP="00194735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наличия инфраструктурной площадки для формирования отраслевых, межотраслевых, кластерных сообществ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05390F" w:rsidRDefault="009D00B0" w:rsidP="00194735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Министерство промышленности, торговли и предпринимательства</w:t>
            </w:r>
          </w:p>
          <w:p w:rsidR="009D00B0" w:rsidRPr="0005390F" w:rsidRDefault="009D00B0" w:rsidP="00194735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Курской области</w:t>
            </w:r>
          </w:p>
          <w:p w:rsidR="009D00B0" w:rsidRPr="0005390F" w:rsidRDefault="009D00B0" w:rsidP="00194735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D00B0" w:rsidRPr="0005390F" w:rsidRDefault="009D00B0" w:rsidP="00194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90F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9D00B0" w:rsidRPr="004F2A60" w:rsidRDefault="009D00B0" w:rsidP="001947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Проведены мероприятия с участием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отраслевых, межотраслевых, кластерных сообществ на базе Центра «Мой Бизнес»</w:t>
            </w:r>
          </w:p>
          <w:p w:rsidR="009D00B0" w:rsidRPr="004F2A60" w:rsidRDefault="009D00B0" w:rsidP="0019473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magent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194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D00B0" w:rsidRDefault="009D00B0" w:rsidP="00194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9D00B0" w:rsidRDefault="009D00B0" w:rsidP="00194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9D00B0" w:rsidRDefault="009D00B0" w:rsidP="00194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9D00B0" w:rsidRDefault="009D00B0" w:rsidP="00194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9D00B0" w:rsidRDefault="009D00B0" w:rsidP="00194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9D00B0" w:rsidRPr="004F2A60" w:rsidRDefault="009D00B0" w:rsidP="001947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05390F" w:rsidRDefault="009D00B0" w:rsidP="00194735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Министерство промышленности, торговли и предпринимательства</w:t>
            </w:r>
          </w:p>
          <w:p w:rsidR="009D00B0" w:rsidRPr="0005390F" w:rsidRDefault="009D00B0" w:rsidP="00194735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Курской области</w:t>
            </w:r>
          </w:p>
          <w:p w:rsidR="009D00B0" w:rsidRPr="0005390F" w:rsidRDefault="009D00B0" w:rsidP="00194735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D00B0" w:rsidRPr="0005390F" w:rsidRDefault="009D00B0" w:rsidP="00194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90F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Отчет 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CC4AED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7</w:t>
            </w:r>
          </w:p>
          <w:p w:rsidR="009D00B0" w:rsidRPr="004F2A60" w:rsidRDefault="009D00B0" w:rsidP="00CC4AE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стандарта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клиентоцентричности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CC4A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05390F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Министерство промышленности, торговли и предпринимательства</w:t>
            </w:r>
          </w:p>
          <w:p w:rsidR="009D00B0" w:rsidRPr="009D00B0" w:rsidRDefault="009D00B0" w:rsidP="009D00B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CC4AE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CC4AED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9D00B0" w:rsidRPr="008B7721" w:rsidRDefault="009D00B0" w:rsidP="0040078A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8B77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Разработаны и внедрены стандарты </w:t>
            </w:r>
            <w:proofErr w:type="spellStart"/>
            <w:r w:rsidRPr="008B7721">
              <w:rPr>
                <w:rFonts w:ascii="Times New Roman" w:eastAsia="Times New Roman" w:hAnsi="Times New Roman" w:cs="Times New Roman"/>
                <w:sz w:val="26"/>
                <w:szCs w:val="26"/>
              </w:rPr>
              <w:t>клиентоцентричности</w:t>
            </w:r>
            <w:proofErr w:type="spellEnd"/>
            <w:r w:rsidRPr="008B77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части предоставления мер государственной поддержки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CC4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D00B0" w:rsidRDefault="009D00B0" w:rsidP="00CC4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9D00B0" w:rsidRDefault="009D00B0" w:rsidP="00CC4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9D00B0" w:rsidRDefault="009D00B0" w:rsidP="00CC4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9D00B0" w:rsidRDefault="009D00B0" w:rsidP="00CC4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9D00B0" w:rsidRDefault="009D00B0" w:rsidP="00CC4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9D00B0" w:rsidRPr="004F2A60" w:rsidRDefault="009D00B0" w:rsidP="00CC4A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05390F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Министерство промышленности, торговли и предпринимательства</w:t>
            </w:r>
          </w:p>
          <w:p w:rsidR="009D00B0" w:rsidRPr="0005390F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Курской области</w:t>
            </w:r>
          </w:p>
          <w:p w:rsidR="009D00B0" w:rsidRPr="0005390F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D00B0" w:rsidRPr="0005390F" w:rsidRDefault="009D00B0" w:rsidP="00053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8934E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8</w:t>
            </w:r>
          </w:p>
          <w:p w:rsidR="009D00B0" w:rsidRDefault="009D00B0" w:rsidP="00CC4AED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</w:p>
          <w:p w:rsidR="009D00B0" w:rsidRPr="004F2A60" w:rsidRDefault="009D00B0" w:rsidP="00CC4AED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Обеспечения справедливой конкуренции за счет снижения доли теневого бизнеса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B1243C" w:rsidRDefault="009D00B0" w:rsidP="00CC4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F71F86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F71F86">
              <w:rPr>
                <w:rFonts w:eastAsia="Times New Roman"/>
                <w:sz w:val="26"/>
                <w:szCs w:val="26"/>
              </w:rPr>
              <w:t>промышленности, торговли и предпринимательства</w:t>
            </w:r>
          </w:p>
          <w:p w:rsidR="009D00B0" w:rsidRPr="00F71F86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>Курской области</w:t>
            </w:r>
          </w:p>
          <w:p w:rsidR="00ED3D6F" w:rsidRPr="00F71F86" w:rsidRDefault="00ED3D6F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D00B0" w:rsidRPr="00F71F86" w:rsidRDefault="00F71F86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 xml:space="preserve">Комитет </w:t>
            </w:r>
            <w:r w:rsidR="009D00B0" w:rsidRPr="00F71F86">
              <w:rPr>
                <w:rFonts w:eastAsia="Times New Roman"/>
                <w:sz w:val="26"/>
                <w:szCs w:val="26"/>
              </w:rPr>
              <w:t xml:space="preserve">по труду и занятости </w:t>
            </w:r>
            <w:r w:rsidR="00ED3D6F" w:rsidRPr="00F71F86">
              <w:rPr>
                <w:rFonts w:eastAsia="Times New Roman"/>
                <w:sz w:val="26"/>
                <w:szCs w:val="26"/>
              </w:rPr>
              <w:t xml:space="preserve">населения </w:t>
            </w:r>
            <w:r w:rsidR="009D00B0" w:rsidRPr="00F71F86">
              <w:rPr>
                <w:rFonts w:eastAsia="Times New Roman"/>
                <w:sz w:val="26"/>
                <w:szCs w:val="26"/>
              </w:rPr>
              <w:t>Курской области</w:t>
            </w:r>
          </w:p>
          <w:p w:rsidR="009D00B0" w:rsidRPr="00F71F86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D00B0" w:rsidRPr="0005390F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>Министерство физической культуры и спорта Курской области</w:t>
            </w:r>
          </w:p>
          <w:p w:rsidR="009D00B0" w:rsidRPr="0005390F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D00B0" w:rsidRPr="0005390F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Муниципальные районы и городские округа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8934E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9D00B0" w:rsidRPr="008934E3" w:rsidRDefault="009D00B0" w:rsidP="008934E3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Проведены мероприятия по снижению неформальной занятости, в том числе в разрезе муниципальных районов и городских округов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9D00B0" w:rsidRDefault="009D00B0" w:rsidP="009D0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F71F86" w:rsidRDefault="00F71F86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>Комитет</w:t>
            </w:r>
            <w:r w:rsidR="009D00B0" w:rsidRPr="00F71F86">
              <w:rPr>
                <w:rFonts w:eastAsia="Times New Roman"/>
                <w:sz w:val="26"/>
                <w:szCs w:val="26"/>
              </w:rPr>
              <w:t xml:space="preserve"> по труду и занятости </w:t>
            </w:r>
            <w:r w:rsidR="00ED3D6F" w:rsidRPr="00F71F86">
              <w:rPr>
                <w:rFonts w:eastAsia="Times New Roman"/>
                <w:sz w:val="26"/>
                <w:szCs w:val="26"/>
              </w:rPr>
              <w:t xml:space="preserve">населения </w:t>
            </w:r>
            <w:r w:rsidR="009D00B0" w:rsidRPr="00F71F86">
              <w:rPr>
                <w:rFonts w:eastAsia="Times New Roman"/>
                <w:sz w:val="26"/>
                <w:szCs w:val="26"/>
              </w:rPr>
              <w:t>Курской области</w:t>
            </w:r>
          </w:p>
          <w:p w:rsidR="009D00B0" w:rsidRPr="00F71F86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D00B0" w:rsidRPr="0005390F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>Муниципальные районы и городские</w:t>
            </w:r>
            <w:r w:rsidRPr="0005390F">
              <w:rPr>
                <w:rFonts w:eastAsia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Отчет 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8934E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9D00B0" w:rsidRPr="008934E3" w:rsidRDefault="009D00B0" w:rsidP="00CC4AED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8934E3">
              <w:rPr>
                <w:rFonts w:eastAsia="Times New Roman"/>
                <w:sz w:val="26"/>
                <w:szCs w:val="26"/>
              </w:rPr>
              <w:t xml:space="preserve">Формирование </w:t>
            </w:r>
            <w:r>
              <w:rPr>
                <w:rFonts w:eastAsia="Times New Roman"/>
                <w:sz w:val="26"/>
                <w:szCs w:val="26"/>
              </w:rPr>
              <w:t>комиссии по легализации теневой занятости в сфере торговли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B1243C" w:rsidRDefault="009D00B0" w:rsidP="00CC4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F71F86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>Министерство промышленности, торговли и предпринимательства</w:t>
            </w:r>
          </w:p>
          <w:p w:rsidR="009D00B0" w:rsidRPr="00F71F86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>Курской области</w:t>
            </w:r>
          </w:p>
          <w:p w:rsidR="00ED3D6F" w:rsidRPr="00F71F86" w:rsidRDefault="00ED3D6F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D00B0" w:rsidRPr="00F71F86" w:rsidRDefault="00ED3D6F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 xml:space="preserve">Комитет </w:t>
            </w:r>
            <w:r w:rsidR="009D00B0" w:rsidRPr="00F71F86">
              <w:rPr>
                <w:rFonts w:eastAsia="Times New Roman"/>
                <w:sz w:val="26"/>
                <w:szCs w:val="26"/>
              </w:rPr>
              <w:t>по труду и занятости</w:t>
            </w:r>
            <w:r w:rsidRPr="00F71F86">
              <w:rPr>
                <w:rFonts w:eastAsia="Times New Roman"/>
                <w:sz w:val="26"/>
                <w:szCs w:val="26"/>
              </w:rPr>
              <w:t xml:space="preserve"> населения</w:t>
            </w:r>
            <w:r w:rsidR="009D00B0" w:rsidRPr="00F71F86">
              <w:rPr>
                <w:rFonts w:eastAsia="Times New Roman"/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D00B0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E621FF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9D00B0" w:rsidRPr="00E621FF" w:rsidRDefault="009D00B0" w:rsidP="008934E3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Комиссией по легализации теневой занятости в сфере торговли реализованы мероприятия направленные на снижение неформальной занятости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2E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D00B0" w:rsidRDefault="009D00B0" w:rsidP="002E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9D00B0" w:rsidRDefault="009D00B0" w:rsidP="002E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9D00B0" w:rsidRDefault="009D00B0" w:rsidP="002E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9D00B0" w:rsidRDefault="009D00B0" w:rsidP="002E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9D00B0" w:rsidRDefault="009D00B0" w:rsidP="002E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9D00B0" w:rsidRDefault="009D00B0" w:rsidP="002E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F71F86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>Министерство промышленности, торговли и предпринимательства</w:t>
            </w:r>
          </w:p>
          <w:p w:rsidR="009D00B0" w:rsidRPr="00F71F86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>Курской области</w:t>
            </w:r>
          </w:p>
          <w:p w:rsidR="00ED3D6F" w:rsidRPr="00F71F86" w:rsidRDefault="00ED3D6F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D00B0" w:rsidRPr="00F71F86" w:rsidRDefault="00ED3D6F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71F86">
              <w:rPr>
                <w:rFonts w:eastAsia="Times New Roman"/>
                <w:sz w:val="26"/>
                <w:szCs w:val="26"/>
              </w:rPr>
              <w:t>Комитет по труду и занятости населения Курской области</w:t>
            </w:r>
            <w:bookmarkStart w:id="0" w:name="_GoBack"/>
            <w:bookmarkEnd w:id="0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D00B0" w:rsidRPr="004F2A60" w:rsidTr="002E375C">
        <w:trPr>
          <w:trHeight w:val="163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8934E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9D00B0" w:rsidRPr="002E375C" w:rsidRDefault="009D00B0" w:rsidP="008934E3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Реализованы мероприятия, направленные на снижение неформальной занятости субъектов МСП в сфере оказания спортивных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Default="009D00B0" w:rsidP="00893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D00B0" w:rsidRDefault="009D00B0" w:rsidP="00893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9D00B0" w:rsidRDefault="009D00B0" w:rsidP="00893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9D00B0" w:rsidRDefault="009D00B0" w:rsidP="00893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9D00B0" w:rsidRDefault="009D00B0" w:rsidP="00893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9D00B0" w:rsidRDefault="009D00B0" w:rsidP="00893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9D00B0" w:rsidRDefault="009D00B0" w:rsidP="00893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05390F" w:rsidRDefault="009D00B0" w:rsidP="0005390F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05390F">
              <w:rPr>
                <w:rFonts w:eastAsia="Times New Roman"/>
                <w:sz w:val="26"/>
                <w:szCs w:val="26"/>
              </w:rPr>
              <w:t>Министерство физической культуры и спорта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B0" w:rsidRPr="004F2A60" w:rsidRDefault="009D00B0" w:rsidP="00194735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Отчет </w:t>
            </w:r>
          </w:p>
        </w:tc>
      </w:tr>
    </w:tbl>
    <w:p w:rsidR="00E11CBC" w:rsidRPr="00111B12" w:rsidRDefault="00E11CBC" w:rsidP="004D7889">
      <w:pPr>
        <w:spacing w:after="0" w:line="240" w:lineRule="auto"/>
        <w:ind w:left="9497"/>
        <w:jc w:val="center"/>
        <w:rPr>
          <w:rFonts w:ascii="Times New Roman" w:hAnsi="Times New Roman" w:cs="Times New Roman"/>
          <w:sz w:val="28"/>
          <w:szCs w:val="28"/>
        </w:rPr>
      </w:pPr>
    </w:p>
    <w:sectPr w:rsidR="00E11CBC" w:rsidRPr="00111B12" w:rsidSect="004F2A60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89" w:rsidRDefault="00786389" w:rsidP="00E11CBC">
      <w:pPr>
        <w:spacing w:after="0" w:line="240" w:lineRule="auto"/>
      </w:pPr>
      <w:r>
        <w:separator/>
      </w:r>
    </w:p>
  </w:endnote>
  <w:endnote w:type="continuationSeparator" w:id="0">
    <w:p w:rsidR="00786389" w:rsidRDefault="00786389" w:rsidP="00E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89" w:rsidRDefault="00786389" w:rsidP="00E11CBC">
      <w:pPr>
        <w:spacing w:after="0" w:line="240" w:lineRule="auto"/>
      </w:pPr>
      <w:r>
        <w:separator/>
      </w:r>
    </w:p>
  </w:footnote>
  <w:footnote w:type="continuationSeparator" w:id="0">
    <w:p w:rsidR="00786389" w:rsidRDefault="00786389" w:rsidP="00E11CBC">
      <w:pPr>
        <w:spacing w:after="0" w:line="240" w:lineRule="auto"/>
      </w:pPr>
      <w:r>
        <w:continuationSeparator/>
      </w:r>
    </w:p>
  </w:footnote>
  <w:footnote w:id="1">
    <w:p w:rsidR="00786389" w:rsidRPr="00526699" w:rsidRDefault="00786389" w:rsidP="00E11CBC">
      <w:pPr>
        <w:pStyle w:val="a4"/>
        <w:jc w:val="both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526699">
        <w:rPr>
          <w:rStyle w:val="a6"/>
          <w:color w:val="FFFFFF" w:themeColor="background1"/>
        </w:rPr>
        <w:footnoteRef/>
      </w:r>
      <w:r w:rsidRPr="00526699">
        <w:rPr>
          <w:color w:val="FFFFFF" w:themeColor="background1"/>
        </w:rPr>
        <w:t xml:space="preserve"> У</w:t>
      </w:r>
      <w:r w:rsidRPr="00526699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казывается информационная система, содержащая информацию о показателях и их значениях (при наличии).</w:t>
      </w:r>
    </w:p>
  </w:footnote>
  <w:footnote w:id="2">
    <w:p w:rsidR="00786389" w:rsidRPr="00526699" w:rsidRDefault="00786389" w:rsidP="00E11CBC">
      <w:pPr>
        <w:pStyle w:val="footnotedescription"/>
        <w:spacing w:after="0" w:line="240" w:lineRule="auto"/>
        <w:rPr>
          <w:color w:val="FFFFFF" w:themeColor="background1"/>
          <w:szCs w:val="18"/>
        </w:rPr>
      </w:pPr>
      <w:r w:rsidRPr="00526699">
        <w:rPr>
          <w:rStyle w:val="footnotemark"/>
          <w:color w:val="FFFFFF" w:themeColor="background1"/>
          <w:sz w:val="20"/>
          <w:szCs w:val="20"/>
        </w:rPr>
        <w:footnoteRef/>
      </w:r>
      <w:r w:rsidRPr="00526699">
        <w:rPr>
          <w:color w:val="FFFFFF" w:themeColor="background1"/>
          <w:szCs w:val="18"/>
        </w:rPr>
        <w:t>Указывается тип мероприятия (результата) в соответствии с Методическими рекомендациями.</w:t>
      </w:r>
      <w:r w:rsidRPr="00526699">
        <w:rPr>
          <w:rFonts w:eastAsia="Calibri"/>
          <w:color w:val="FFFFFF" w:themeColor="background1"/>
          <w:szCs w:val="18"/>
        </w:rPr>
        <w:t xml:space="preserve"> </w:t>
      </w:r>
    </w:p>
  </w:footnote>
  <w:footnote w:id="3">
    <w:p w:rsidR="00786389" w:rsidRPr="009F7DD3" w:rsidRDefault="00786389" w:rsidP="00E11CBC">
      <w:pPr>
        <w:pStyle w:val="a4"/>
        <w:rPr>
          <w:color w:val="FFFFFF" w:themeColor="background1"/>
          <w:sz w:val="18"/>
          <w:szCs w:val="18"/>
        </w:rPr>
      </w:pPr>
      <w:r w:rsidRPr="009F7DD3">
        <w:rPr>
          <w:rStyle w:val="a6"/>
          <w:color w:val="FFFFFF" w:themeColor="background1"/>
        </w:rPr>
        <w:footnoteRef/>
      </w:r>
      <w:r w:rsidRPr="009F7DD3">
        <w:rPr>
          <w:color w:val="FFFFFF" w:themeColor="background1"/>
        </w:rPr>
        <w:t xml:space="preserve"> </w:t>
      </w:r>
      <w:r w:rsidRPr="009F7DD3">
        <w:rPr>
          <w:rFonts w:ascii="Times New Roman" w:hAnsi="Times New Roman" w:cs="Times New Roman"/>
          <w:color w:val="FFFFFF" w:themeColor="background1"/>
          <w:sz w:val="18"/>
          <w:szCs w:val="18"/>
        </w:rPr>
        <w:t>Указывается вид документа, подтверждающий факт достижения контрольной точки.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DFE"/>
    <w:multiLevelType w:val="hybridMultilevel"/>
    <w:tmpl w:val="D5DC0106"/>
    <w:lvl w:ilvl="0" w:tplc="EA8EF6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663"/>
    <w:multiLevelType w:val="multilevel"/>
    <w:tmpl w:val="01D4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047E6"/>
    <w:multiLevelType w:val="hybridMultilevel"/>
    <w:tmpl w:val="77BCFB70"/>
    <w:lvl w:ilvl="0" w:tplc="E69A3786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BC"/>
    <w:rsid w:val="000058B9"/>
    <w:rsid w:val="00016DE3"/>
    <w:rsid w:val="0005390F"/>
    <w:rsid w:val="0006060C"/>
    <w:rsid w:val="0007638C"/>
    <w:rsid w:val="00082178"/>
    <w:rsid w:val="000A5E2F"/>
    <w:rsid w:val="000B06A0"/>
    <w:rsid w:val="000B18F1"/>
    <w:rsid w:val="000C0D7D"/>
    <w:rsid w:val="000C3E0A"/>
    <w:rsid w:val="000F09FD"/>
    <w:rsid w:val="0010196B"/>
    <w:rsid w:val="00106220"/>
    <w:rsid w:val="001203ED"/>
    <w:rsid w:val="001225DB"/>
    <w:rsid w:val="00135E28"/>
    <w:rsid w:val="0018336F"/>
    <w:rsid w:val="001A152A"/>
    <w:rsid w:val="001B381B"/>
    <w:rsid w:val="001B4005"/>
    <w:rsid w:val="001B4142"/>
    <w:rsid w:val="002056D0"/>
    <w:rsid w:val="00210F55"/>
    <w:rsid w:val="00223093"/>
    <w:rsid w:val="00240AE6"/>
    <w:rsid w:val="00266992"/>
    <w:rsid w:val="002751A6"/>
    <w:rsid w:val="002B0F10"/>
    <w:rsid w:val="002E375C"/>
    <w:rsid w:val="002F6453"/>
    <w:rsid w:val="002F7FCB"/>
    <w:rsid w:val="00305707"/>
    <w:rsid w:val="003267BF"/>
    <w:rsid w:val="00336910"/>
    <w:rsid w:val="0034075B"/>
    <w:rsid w:val="00366263"/>
    <w:rsid w:val="0037227A"/>
    <w:rsid w:val="003832EB"/>
    <w:rsid w:val="00386645"/>
    <w:rsid w:val="003A7C89"/>
    <w:rsid w:val="003B19D4"/>
    <w:rsid w:val="003B6285"/>
    <w:rsid w:val="003C618C"/>
    <w:rsid w:val="003F70C0"/>
    <w:rsid w:val="0040078A"/>
    <w:rsid w:val="00417530"/>
    <w:rsid w:val="00434333"/>
    <w:rsid w:val="00443B8A"/>
    <w:rsid w:val="00444519"/>
    <w:rsid w:val="0046031E"/>
    <w:rsid w:val="00474709"/>
    <w:rsid w:val="00475543"/>
    <w:rsid w:val="0048371A"/>
    <w:rsid w:val="0048657D"/>
    <w:rsid w:val="004C0AD2"/>
    <w:rsid w:val="004D7889"/>
    <w:rsid w:val="004F2A60"/>
    <w:rsid w:val="005020F1"/>
    <w:rsid w:val="00526699"/>
    <w:rsid w:val="00536FE4"/>
    <w:rsid w:val="0056381C"/>
    <w:rsid w:val="0057744E"/>
    <w:rsid w:val="005A7234"/>
    <w:rsid w:val="005D2B81"/>
    <w:rsid w:val="005D6652"/>
    <w:rsid w:val="005E049C"/>
    <w:rsid w:val="00611EFB"/>
    <w:rsid w:val="006258BD"/>
    <w:rsid w:val="00631CBC"/>
    <w:rsid w:val="00661714"/>
    <w:rsid w:val="00662906"/>
    <w:rsid w:val="006732B6"/>
    <w:rsid w:val="00675128"/>
    <w:rsid w:val="00676DF4"/>
    <w:rsid w:val="00681C24"/>
    <w:rsid w:val="00690355"/>
    <w:rsid w:val="006C66C2"/>
    <w:rsid w:val="006D0095"/>
    <w:rsid w:val="007047DD"/>
    <w:rsid w:val="0071311D"/>
    <w:rsid w:val="00734943"/>
    <w:rsid w:val="0074771C"/>
    <w:rsid w:val="00761B7B"/>
    <w:rsid w:val="00777F41"/>
    <w:rsid w:val="007822B5"/>
    <w:rsid w:val="00786389"/>
    <w:rsid w:val="007A4BF9"/>
    <w:rsid w:val="007A6FC3"/>
    <w:rsid w:val="007B6BAC"/>
    <w:rsid w:val="007C4C42"/>
    <w:rsid w:val="007D0105"/>
    <w:rsid w:val="007D0191"/>
    <w:rsid w:val="007D52A9"/>
    <w:rsid w:val="007E08EC"/>
    <w:rsid w:val="007F40A3"/>
    <w:rsid w:val="00801C98"/>
    <w:rsid w:val="00830912"/>
    <w:rsid w:val="00832CA8"/>
    <w:rsid w:val="008478F0"/>
    <w:rsid w:val="008555A4"/>
    <w:rsid w:val="00866734"/>
    <w:rsid w:val="00881307"/>
    <w:rsid w:val="00887B5D"/>
    <w:rsid w:val="008920A2"/>
    <w:rsid w:val="008934E3"/>
    <w:rsid w:val="008A1E71"/>
    <w:rsid w:val="008B1B0E"/>
    <w:rsid w:val="008B3CCE"/>
    <w:rsid w:val="008B7721"/>
    <w:rsid w:val="00903E49"/>
    <w:rsid w:val="009071F7"/>
    <w:rsid w:val="009072B1"/>
    <w:rsid w:val="00916C94"/>
    <w:rsid w:val="009255C4"/>
    <w:rsid w:val="00941E2A"/>
    <w:rsid w:val="0096415A"/>
    <w:rsid w:val="00973B1A"/>
    <w:rsid w:val="009819CE"/>
    <w:rsid w:val="009857D2"/>
    <w:rsid w:val="009906E7"/>
    <w:rsid w:val="009D00B0"/>
    <w:rsid w:val="009D7837"/>
    <w:rsid w:val="009E58D2"/>
    <w:rsid w:val="009E69E3"/>
    <w:rsid w:val="009F7DD3"/>
    <w:rsid w:val="00A0283E"/>
    <w:rsid w:val="00A240EB"/>
    <w:rsid w:val="00A46591"/>
    <w:rsid w:val="00A716D8"/>
    <w:rsid w:val="00A90093"/>
    <w:rsid w:val="00A91B2A"/>
    <w:rsid w:val="00AA7A05"/>
    <w:rsid w:val="00AB0814"/>
    <w:rsid w:val="00AC0911"/>
    <w:rsid w:val="00AE2287"/>
    <w:rsid w:val="00B1243C"/>
    <w:rsid w:val="00B21741"/>
    <w:rsid w:val="00B31D12"/>
    <w:rsid w:val="00B548FB"/>
    <w:rsid w:val="00B6033E"/>
    <w:rsid w:val="00B765A5"/>
    <w:rsid w:val="00BC1D91"/>
    <w:rsid w:val="00BC3071"/>
    <w:rsid w:val="00BD485E"/>
    <w:rsid w:val="00C2025C"/>
    <w:rsid w:val="00C26557"/>
    <w:rsid w:val="00C4242B"/>
    <w:rsid w:val="00C424D6"/>
    <w:rsid w:val="00C82291"/>
    <w:rsid w:val="00C877B0"/>
    <w:rsid w:val="00C95473"/>
    <w:rsid w:val="00C9774D"/>
    <w:rsid w:val="00CA664B"/>
    <w:rsid w:val="00CB6997"/>
    <w:rsid w:val="00D43F40"/>
    <w:rsid w:val="00D5472A"/>
    <w:rsid w:val="00D57E81"/>
    <w:rsid w:val="00D7232B"/>
    <w:rsid w:val="00D82F21"/>
    <w:rsid w:val="00D8524C"/>
    <w:rsid w:val="00DA38CE"/>
    <w:rsid w:val="00DB5363"/>
    <w:rsid w:val="00DD1C60"/>
    <w:rsid w:val="00DD4EDC"/>
    <w:rsid w:val="00DF1AAC"/>
    <w:rsid w:val="00DF333F"/>
    <w:rsid w:val="00E00CEC"/>
    <w:rsid w:val="00E11CBC"/>
    <w:rsid w:val="00E2673F"/>
    <w:rsid w:val="00E531BC"/>
    <w:rsid w:val="00E53ED1"/>
    <w:rsid w:val="00E621FF"/>
    <w:rsid w:val="00E7223D"/>
    <w:rsid w:val="00E96AEB"/>
    <w:rsid w:val="00E97562"/>
    <w:rsid w:val="00EC16E3"/>
    <w:rsid w:val="00EC609F"/>
    <w:rsid w:val="00ED3D6F"/>
    <w:rsid w:val="00EE2CE5"/>
    <w:rsid w:val="00F40DC1"/>
    <w:rsid w:val="00F71F86"/>
    <w:rsid w:val="00FA2D33"/>
    <w:rsid w:val="00FA6692"/>
    <w:rsid w:val="00FB5021"/>
    <w:rsid w:val="00FC4FE3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msp8</dc:creator>
  <cp:lastModifiedBy>Начальник ОРМП</cp:lastModifiedBy>
  <cp:revision>13</cp:revision>
  <dcterms:created xsi:type="dcterms:W3CDTF">2023-09-26T09:48:00Z</dcterms:created>
  <dcterms:modified xsi:type="dcterms:W3CDTF">2023-10-16T13:54:00Z</dcterms:modified>
</cp:coreProperties>
</file>