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E2" w:rsidRDefault="00A160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</w:t>
      </w:r>
      <w:proofErr w:type="gramEnd"/>
      <w:r w:rsidRPr="005F071E">
        <w:rPr>
          <w:sz w:val="28"/>
          <w:szCs w:val="28"/>
        </w:rPr>
        <w:t xml:space="preserve">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iCs/>
          <w:sz w:val="28"/>
          <w:szCs w:val="28"/>
        </w:rPr>
        <w:t>коррупциогенные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9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</w:t>
      </w:r>
      <w:proofErr w:type="gramEnd"/>
      <w:r w:rsidRPr="005F071E">
        <w:rPr>
          <w:sz w:val="28"/>
          <w:szCs w:val="28"/>
        </w:rPr>
        <w:t xml:space="preserve">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</w:t>
      </w:r>
      <w:proofErr w:type="gramStart"/>
      <w:r w:rsidRPr="005F071E">
        <w:rPr>
          <w:sz w:val="28"/>
          <w:szCs w:val="28"/>
        </w:rPr>
        <w:t>;</w:t>
      </w:r>
      <w:proofErr w:type="spellStart"/>
      <w:r w:rsidR="00F10AF7">
        <w:rPr>
          <w:sz w:val="28"/>
          <w:szCs w:val="28"/>
        </w:rPr>
        <w:t>т</w:t>
      </w:r>
      <w:proofErr w:type="gramEnd"/>
      <w:r w:rsidR="00F10AF7">
        <w:rPr>
          <w:sz w:val="28"/>
          <w:szCs w:val="28"/>
        </w:rPr>
        <w:t>р</w:t>
      </w:r>
      <w:proofErr w:type="spellEnd"/>
      <w:r w:rsidR="00F10AF7">
        <w:rPr>
          <w:sz w:val="28"/>
          <w:szCs w:val="28"/>
        </w:rPr>
        <w:t xml:space="preserve"> и иных программ занятости населения, направленных против противодействия коррупции</w:t>
      </w:r>
      <w:r w:rsidR="00945A64">
        <w:rPr>
          <w:sz w:val="28"/>
          <w:szCs w:val="28"/>
        </w:rPr>
        <w:t xml:space="preserve"> в органах исполнительной власти Курской области а также в муниципальных образованиях </w:t>
      </w:r>
      <w:r w:rsidR="007C7B32">
        <w:rPr>
          <w:sz w:val="28"/>
          <w:szCs w:val="28"/>
        </w:rPr>
        <w:t>которые находятся в ведении глав соответствующих администраций и поселковые сельсоветы  в ведении которых находятся вопросы противодействия коррупции и разработка нормативных правовых актов в сфере антикоррупционного законодательства. Учитывая крайнюю необходимость повысить уровень антикор</w:t>
      </w:r>
      <w:r w:rsidR="00C73CB7">
        <w:rPr>
          <w:sz w:val="28"/>
          <w:szCs w:val="28"/>
        </w:rPr>
        <w:t>р</w:t>
      </w:r>
      <w:r w:rsidR="007C7B32">
        <w:rPr>
          <w:sz w:val="28"/>
          <w:szCs w:val="28"/>
        </w:rPr>
        <w:t xml:space="preserve">упционной направленности среди </w:t>
      </w:r>
      <w:r w:rsidR="007C7B32">
        <w:rPr>
          <w:sz w:val="28"/>
          <w:szCs w:val="28"/>
        </w:rPr>
        <w:lastRenderedPageBreak/>
        <w:t xml:space="preserve">государственных гражданских служащих субъекта, необходимо обеспечить повышение квалификации по вопросам взаимодействия с органами исполнительной власти, законодательной </w:t>
      </w:r>
      <w:proofErr w:type="gramStart"/>
      <w:r w:rsidR="007C7B32">
        <w:rPr>
          <w:sz w:val="28"/>
          <w:szCs w:val="28"/>
        </w:rPr>
        <w:t>власти</w:t>
      </w:r>
      <w:proofErr w:type="gramEnd"/>
      <w:r w:rsidR="007C7B32">
        <w:rPr>
          <w:sz w:val="28"/>
          <w:szCs w:val="28"/>
        </w:rPr>
        <w:t xml:space="preserve"> а также с общественными объединениями и организациями которые действуют в рамках осуществления полномочий</w:t>
      </w:r>
      <w:r w:rsidR="00AC178A">
        <w:rPr>
          <w:sz w:val="28"/>
          <w:szCs w:val="28"/>
        </w:rPr>
        <w:t xml:space="preserve"> в сфере занятости населения,</w:t>
      </w:r>
      <w:r w:rsidR="00C73CB7">
        <w:rPr>
          <w:sz w:val="28"/>
          <w:szCs w:val="28"/>
        </w:rPr>
        <w:t xml:space="preserve"> </w:t>
      </w:r>
      <w:r w:rsidR="00AC178A">
        <w:rPr>
          <w:sz w:val="28"/>
          <w:szCs w:val="28"/>
        </w:rPr>
        <w:t>т</w:t>
      </w:r>
      <w:r w:rsidR="00C73CB7">
        <w:rPr>
          <w:sz w:val="28"/>
          <w:szCs w:val="28"/>
        </w:rPr>
        <w:t xml:space="preserve">рудовых отношений, защиты </w:t>
      </w:r>
      <w:r w:rsidR="00AC178A">
        <w:rPr>
          <w:sz w:val="28"/>
          <w:szCs w:val="28"/>
        </w:rPr>
        <w:t xml:space="preserve">трудовых прав граждан решение вопросов о перераспределении трудовых ресурсов между организациями субъекта </w:t>
      </w:r>
      <w:bookmarkStart w:id="0" w:name="_GoBack"/>
      <w:bookmarkEnd w:id="0"/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>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  <w:proofErr w:type="gramEnd"/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</w:t>
      </w:r>
      <w:r w:rsidRPr="005F071E">
        <w:rPr>
          <w:sz w:val="28"/>
          <w:szCs w:val="28"/>
        </w:rPr>
        <w:lastRenderedPageBreak/>
        <w:t xml:space="preserve">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  <w:proofErr w:type="gramEnd"/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искажении</w:t>
      </w:r>
      <w:proofErr w:type="gramEnd"/>
      <w:r w:rsidRPr="005F071E">
        <w:rPr>
          <w:sz w:val="28"/>
          <w:szCs w:val="28"/>
        </w:rPr>
        <w:t xml:space="preserve">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попытках</w:t>
      </w:r>
      <w:proofErr w:type="gramEnd"/>
      <w:r w:rsidRPr="005F071E">
        <w:rPr>
          <w:sz w:val="28"/>
          <w:szCs w:val="28"/>
        </w:rPr>
        <w:t xml:space="preserve">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действиях</w:t>
      </w:r>
      <w:proofErr w:type="gramEnd"/>
      <w:r w:rsidRPr="005F071E">
        <w:rPr>
          <w:sz w:val="28"/>
          <w:szCs w:val="28"/>
        </w:rPr>
        <w:t xml:space="preserve">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бездействии</w:t>
      </w:r>
      <w:proofErr w:type="gramEnd"/>
      <w:r w:rsidRPr="005F071E">
        <w:rPr>
          <w:sz w:val="28"/>
          <w:szCs w:val="28"/>
        </w:rPr>
        <w:t xml:space="preserve">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получении</w:t>
      </w:r>
      <w:proofErr w:type="gramEnd"/>
      <w:r w:rsidRPr="005F071E">
        <w:rPr>
          <w:sz w:val="28"/>
          <w:szCs w:val="28"/>
        </w:rPr>
        <w:t xml:space="preserve">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  <w:proofErr w:type="gramEnd"/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proofErr w:type="gramStart"/>
      <w:r w:rsidRPr="005F071E">
        <w:rPr>
          <w:sz w:val="28"/>
          <w:szCs w:val="28"/>
        </w:rPr>
        <w:t>совершении</w:t>
      </w:r>
      <w:proofErr w:type="gramEnd"/>
      <w:r w:rsidRPr="005F071E">
        <w:rPr>
          <w:sz w:val="28"/>
          <w:szCs w:val="28"/>
        </w:rPr>
        <w:t xml:space="preserve">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</w:t>
      </w:r>
      <w:r w:rsidR="00D52213" w:rsidRPr="005F071E">
        <w:rPr>
          <w:rFonts w:eastAsiaTheme="minorHAnsi"/>
          <w:sz w:val="28"/>
          <w:szCs w:val="28"/>
          <w:lang w:eastAsia="en-US"/>
        </w:rPr>
        <w:lastRenderedPageBreak/>
        <w:t>должностей федеральной государственной службы, при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52213" w:rsidRPr="005F071E">
        <w:rPr>
          <w:rFonts w:eastAsiaTheme="minorHAnsi"/>
          <w:sz w:val="28"/>
          <w:szCs w:val="28"/>
          <w:lang w:eastAsia="en-US"/>
        </w:rPr>
        <w:t>назначении</w:t>
      </w:r>
      <w:proofErr w:type="gramEnd"/>
      <w:r w:rsidR="00D52213" w:rsidRPr="005F071E">
        <w:rPr>
          <w:rFonts w:eastAsiaTheme="minorHAnsi"/>
          <w:sz w:val="28"/>
          <w:szCs w:val="28"/>
          <w:lang w:eastAsia="en-US"/>
        </w:rPr>
        <w:t xml:space="preserve">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 xml:space="preserve">О </w:t>
      </w:r>
      <w:proofErr w:type="gramStart"/>
      <w:r w:rsidR="00A058A5" w:rsidRPr="005F071E">
        <w:rPr>
          <w:rFonts w:eastAsiaTheme="minorHAnsi"/>
          <w:sz w:val="28"/>
          <w:szCs w:val="28"/>
          <w:lang w:eastAsia="en-US"/>
        </w:rPr>
        <w:t>мерах</w:t>
      </w:r>
      <w:proofErr w:type="gramEnd"/>
      <w:r w:rsidR="00A058A5" w:rsidRPr="005F071E">
        <w:rPr>
          <w:rFonts w:eastAsiaTheme="minorHAnsi"/>
          <w:sz w:val="28"/>
          <w:szCs w:val="28"/>
          <w:lang w:eastAsia="en-US"/>
        </w:rPr>
        <w:t xml:space="preserve">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>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</w:t>
      </w:r>
      <w:proofErr w:type="gramEnd"/>
      <w:r w:rsidRPr="005F071E">
        <w:rPr>
          <w:sz w:val="28"/>
          <w:szCs w:val="28"/>
        </w:rPr>
        <w:t> </w:t>
      </w:r>
      <w:proofErr w:type="gramStart"/>
      <w:r w:rsidRPr="005F071E">
        <w:rPr>
          <w:sz w:val="28"/>
          <w:szCs w:val="28"/>
        </w:rPr>
        <w:t xml:space="preserve">2010 г. № 821). </w:t>
      </w:r>
      <w:proofErr w:type="gramEnd"/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</w:t>
      </w:r>
      <w:proofErr w:type="gramEnd"/>
      <w:r w:rsidR="00DB06E4" w:rsidRPr="005F071E">
        <w:rPr>
          <w:sz w:val="28"/>
          <w:szCs w:val="28"/>
        </w:rPr>
        <w:t xml:space="preserve">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>) и несовершеннолетних детей</w:t>
      </w:r>
      <w:proofErr w:type="gramStart"/>
      <w:r w:rsidR="00DB06E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.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lastRenderedPageBreak/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</w:t>
      </w:r>
      <w:proofErr w:type="gramEnd"/>
      <w:r w:rsidRPr="005F071E">
        <w:rPr>
          <w:rFonts w:ascii="Times New Roman" w:hAnsi="Times New Roman" w:cs="Times New Roman"/>
          <w:sz w:val="28"/>
          <w:szCs w:val="28"/>
        </w:rPr>
        <w:t xml:space="preserve">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организации внутреннего </w:t>
      </w:r>
      <w:proofErr w:type="gramStart"/>
      <w:r w:rsidRPr="005F071E">
        <w:rPr>
          <w:sz w:val="28"/>
          <w:szCs w:val="28"/>
        </w:rPr>
        <w:t>контроля за</w:t>
      </w:r>
      <w:proofErr w:type="gramEnd"/>
      <w:r w:rsidRPr="005F071E">
        <w:rPr>
          <w:sz w:val="28"/>
          <w:szCs w:val="28"/>
        </w:rPr>
        <w:t xml:space="preserve">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</w:t>
      </w:r>
      <w:proofErr w:type="gramStart"/>
      <w:r w:rsidRPr="005F071E">
        <w:rPr>
          <w:sz w:val="28"/>
          <w:szCs w:val="28"/>
        </w:rPr>
        <w:t xml:space="preserve">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="00D16BD5" w:rsidRPr="005F071E">
        <w:rPr>
          <w:rFonts w:eastAsiaTheme="minorHAnsi"/>
          <w:sz w:val="28"/>
          <w:szCs w:val="28"/>
          <w:lang w:eastAsia="en-US"/>
        </w:rPr>
        <w:t>»)</w:t>
      </w:r>
      <w:r w:rsidRPr="005F071E">
        <w:rPr>
          <w:sz w:val="28"/>
          <w:szCs w:val="28"/>
        </w:rPr>
        <w:t xml:space="preserve">, </w:t>
      </w:r>
      <w:proofErr w:type="gramStart"/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  <w:proofErr w:type="gramEnd"/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lastRenderedPageBreak/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</w:t>
      </w:r>
      <w:proofErr w:type="gramEnd"/>
      <w:r w:rsidRPr="005F071E">
        <w:rPr>
          <w:rFonts w:eastAsiaTheme="minorHAnsi"/>
          <w:sz w:val="28"/>
          <w:szCs w:val="28"/>
          <w:lang w:eastAsia="en-US"/>
        </w:rPr>
        <w:t xml:space="preserve">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</w:t>
      </w:r>
      <w:proofErr w:type="gramEnd"/>
      <w:r w:rsidR="00062B86" w:rsidRPr="005F071E">
        <w:rPr>
          <w:sz w:val="28"/>
          <w:szCs w:val="28"/>
        </w:rPr>
        <w:t xml:space="preserve"> </w:t>
      </w:r>
      <w:proofErr w:type="gramStart"/>
      <w:r w:rsidR="00062B86" w:rsidRPr="005F071E">
        <w:rPr>
          <w:sz w:val="28"/>
          <w:szCs w:val="28"/>
        </w:rPr>
        <w:t>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  <w:proofErr w:type="gramEnd"/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49" w:rsidRDefault="004D7C49" w:rsidP="00200F49">
      <w:r>
        <w:separator/>
      </w:r>
    </w:p>
  </w:endnote>
  <w:endnote w:type="continuationSeparator" w:id="0">
    <w:p w:rsidR="004D7C49" w:rsidRDefault="004D7C49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49" w:rsidRDefault="004D7C49" w:rsidP="00200F49">
      <w:r>
        <w:separator/>
      </w:r>
    </w:p>
  </w:footnote>
  <w:footnote w:type="continuationSeparator" w:id="0">
    <w:p w:rsidR="004D7C49" w:rsidRDefault="004D7C49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proofErr w:type="gramStart"/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  <w:proofErr w:type="gramEnd"/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2A9C">
      <w:rPr>
        <w:rStyle w:val="a7"/>
        <w:noProof/>
      </w:rPr>
      <w:t>4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D7C49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52A9C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A1813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7C7B32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45A64"/>
    <w:rsid w:val="00950B26"/>
    <w:rsid w:val="00957B3C"/>
    <w:rsid w:val="00976B36"/>
    <w:rsid w:val="00976D13"/>
    <w:rsid w:val="0098697B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178A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3CB7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3DE1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10AF7"/>
    <w:rsid w:val="00F137C1"/>
    <w:rsid w:val="00F20805"/>
    <w:rsid w:val="00F61F2A"/>
    <w:rsid w:val="00F87293"/>
    <w:rsid w:val="00F94C7C"/>
    <w:rsid w:val="00FB5DC9"/>
    <w:rsid w:val="00FB60F7"/>
    <w:rsid w:val="00FC3D9A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E0818AD70AAA66E18CCE35262A6D227D73871FDA9B97A4D2923B64n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8032-E2F5-45F9-92BB-75DCC9F9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1</Pages>
  <Words>4245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16</cp:revision>
  <cp:lastPrinted>2014-12-24T07:30:00Z</cp:lastPrinted>
  <dcterms:created xsi:type="dcterms:W3CDTF">2014-11-24T11:52:00Z</dcterms:created>
  <dcterms:modified xsi:type="dcterms:W3CDTF">2018-11-06T14:48:00Z</dcterms:modified>
</cp:coreProperties>
</file>