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outlineLvl w:val="0"/>
      </w:pPr>
      <w:r>
        <w:rPr>
          <w:sz w:val="24"/>
        </w:rPr>
        <w:t>Утверждена</w:t>
      </w:r>
    </w:p>
    <w:p w14:paraId="02000000">
      <w:pPr>
        <w:pStyle w:val="Style_1"/>
        <w:widowControl w:val="1"/>
        <w:ind/>
        <w:jc w:val="right"/>
      </w:pPr>
      <w:r>
        <w:rPr>
          <w:sz w:val="24"/>
        </w:rPr>
        <w:t>постановлением</w:t>
      </w:r>
    </w:p>
    <w:p w14:paraId="03000000">
      <w:pPr>
        <w:pStyle w:val="Style_1"/>
        <w:widowControl w:val="1"/>
        <w:ind/>
        <w:jc w:val="right"/>
      </w:pPr>
      <w:r>
        <w:rPr>
          <w:sz w:val="24"/>
        </w:rPr>
        <w:t>Администрации Курской области</w:t>
      </w:r>
    </w:p>
    <w:p w14:paraId="04000000">
      <w:pPr>
        <w:pStyle w:val="Style_1"/>
        <w:widowControl w:val="1"/>
        <w:ind/>
        <w:jc w:val="right"/>
      </w:pPr>
      <w:r>
        <w:rPr>
          <w:sz w:val="24"/>
        </w:rPr>
        <w:t>от 2 октября 2013 г. N 692-па</w:t>
      </w:r>
    </w:p>
    <w:p w14:paraId="05000000">
      <w:pPr>
        <w:pStyle w:val="Style_1"/>
        <w:widowControl w:val="1"/>
        <w:ind/>
        <w:jc w:val="center"/>
      </w:pPr>
    </w:p>
    <w:p w14:paraId="06000000">
      <w:pPr>
        <w:pStyle w:val="Style_2"/>
        <w:widowControl w:val="1"/>
        <w:ind/>
        <w:jc w:val="center"/>
      </w:pPr>
      <w:r>
        <w:rPr>
          <w:sz w:val="24"/>
        </w:rPr>
        <w:t>ГОСУДАРСТВЕННАЯ ПРОГРАММА КУРСКОЙ ОБЛАСТИ</w:t>
      </w:r>
    </w:p>
    <w:p w14:paraId="07000000">
      <w:pPr>
        <w:pStyle w:val="Style_2"/>
        <w:widowControl w:val="1"/>
        <w:ind/>
        <w:jc w:val="center"/>
      </w:pPr>
      <w:r>
        <w:rPr>
          <w:sz w:val="24"/>
        </w:rPr>
        <w:t>"РЕАЛИЗАЦИЯ ГОСУДАРСТВЕННОЙ ПОЛИТИКИ В СФЕРЕ ПЕЧАТИ</w:t>
      </w:r>
    </w:p>
    <w:p w14:paraId="08000000">
      <w:pPr>
        <w:pStyle w:val="Style_2"/>
        <w:widowControl w:val="1"/>
        <w:ind/>
        <w:jc w:val="center"/>
      </w:pPr>
      <w:r>
        <w:rPr>
          <w:sz w:val="24"/>
        </w:rPr>
        <w:t>И МАССОВОЙ ИНФОРМАЦИИ В КУРСКОЙ ОБЛАСТИ"</w:t>
      </w:r>
    </w:p>
    <w:p w14:paraId="09000000">
      <w:pPr>
        <w:pStyle w:val="Style_2"/>
        <w:widowControl w:val="1"/>
        <w:ind/>
        <w:jc w:val="center"/>
      </w:pPr>
      <w:r>
        <w:rPr>
          <w:sz w:val="24"/>
        </w:rPr>
        <w:t>(ДАЛЕЕ - ГОСУДАРСТВЕННАЯ ПРОГРАММА)</w:t>
      </w:r>
    </w:p>
    <w:p w14:paraId="0A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0B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0C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(в ред. постановлений Правительства Курской области</w:t>
            </w:r>
          </w:p>
          <w:p w14:paraId="0D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28.02.2024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"https://login.consultant.ru/link/?req=doc&amp;base=RLAW417&amp;n=118516&amp;date=09.10.2025&amp;dst=100011&amp;field=134" \o "Постановление Правительства Курской области от 28.02.2024 N 150-пп "О внесении изменений в государственную программу Курской области "Реализация государственной политики в сфере печати и массовой информации в Курской области"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N 150-пп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13.08.2024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"https://login.consultant.ru/link/?req=doc&amp;base=RLAW417&amp;n=123030&amp;date=09.10.2025&amp;dst=100005&amp;field=134" \o "Постановление Правительства Курской области от 13.08.2024 N 645-пп "О внесении изменения в государственную программу Курской области "Реализация государственной политики в сфере печати и массовой информации в Курской области"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N 645-пп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23.06.2025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"https://login.consultant.ru/link/?req=doc&amp;base=RLAW417&amp;n=132715&amp;date=09.10.2025&amp;dst=100005&amp;field=134" \o "Постановление Правительства Курской области от 23.06.2025 N 458-пп "О внесении изменения в государственную программу Курской области "Реализация государственной политики в сфере печати и массовой информации в Курской области"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N 458-пп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0E000000">
      <w:pPr>
        <w:pStyle w:val="Style_1"/>
        <w:widowControl w:val="1"/>
        <w:ind/>
        <w:jc w:val="center"/>
      </w:pPr>
    </w:p>
    <w:p w14:paraId="0F000000">
      <w:pPr>
        <w:pStyle w:val="Style_2"/>
        <w:widowControl w:val="1"/>
        <w:ind/>
        <w:jc w:val="center"/>
        <w:outlineLvl w:val="1"/>
      </w:pPr>
      <w:r>
        <w:rPr>
          <w:sz w:val="24"/>
        </w:rPr>
        <w:t>Стратегические приоритеты государственной программы</w:t>
      </w:r>
    </w:p>
    <w:p w14:paraId="10000000">
      <w:pPr>
        <w:pStyle w:val="Style_1"/>
        <w:widowControl w:val="1"/>
        <w:ind/>
        <w:jc w:val="center"/>
      </w:pPr>
    </w:p>
    <w:p w14:paraId="11000000">
      <w:pPr>
        <w:pStyle w:val="Style_2"/>
        <w:widowControl w:val="1"/>
        <w:ind/>
        <w:jc w:val="center"/>
        <w:outlineLvl w:val="2"/>
      </w:pPr>
      <w:r>
        <w:rPr>
          <w:sz w:val="24"/>
        </w:rPr>
        <w:t>1. Оценка текущего состояния сферы реализации</w:t>
      </w:r>
    </w:p>
    <w:p w14:paraId="12000000">
      <w:pPr>
        <w:pStyle w:val="Style_2"/>
        <w:widowControl w:val="1"/>
        <w:ind/>
        <w:jc w:val="center"/>
      </w:pPr>
      <w:r>
        <w:rPr>
          <w:sz w:val="24"/>
        </w:rPr>
        <w:t>государственной программы</w:t>
      </w:r>
    </w:p>
    <w:p w14:paraId="13000000">
      <w:pPr>
        <w:pStyle w:val="Style_1"/>
        <w:widowControl w:val="1"/>
        <w:ind w:firstLine="540"/>
        <w:jc w:val="both"/>
      </w:pPr>
    </w:p>
    <w:p w14:paraId="14000000">
      <w:pPr>
        <w:pStyle w:val="Style_1"/>
        <w:widowControl w:val="1"/>
        <w:ind w:firstLine="540"/>
        <w:jc w:val="both"/>
      </w:pPr>
      <w:r>
        <w:rPr>
          <w:sz w:val="24"/>
        </w:rPr>
        <w:t>В настоящее время в Курской области Управлением Роскомнадзора по Курской области зарегистрировано 139 средств массовой информации (далее - СМИ), в том числе 53 газеты, 15 журналов, 7 телеканалов, 17 радиоканалов, 5 информационных агентств, 37 сетевых изданий.</w:t>
      </w:r>
    </w:p>
    <w:p w14:paraId="1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Основу информационного поля Курской области по охвату населения (тиражи газет, зона покрытия телерадиосигналом) составляют государственные СМИ - 28 государственных печатных СМИ (областная газета "Курская правда" и 27 районных газет), 3 государственных электронных СМИ, в отношении которых Министерство информации и общественных коммуникаций Курской области (далее - Министерство) осуществляет функции и полномочия учредителя. Подведомственные Министерству учреждения осуществляют деятельность в форме автономных учреждений Курской области.</w:t>
      </w:r>
    </w:p>
    <w:p w14:paraId="1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Несмотря на снижение читательской активности в отношении печатной продукции и, в частности, печатных СМИ, совокупный тираж государственных изданий остается достаточно стабильным и превышает 75 тысяч экземпляров в год.</w:t>
      </w:r>
    </w:p>
    <w:p w14:paraId="1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Следует отметить, что обеспечение конституционного права граждан на получение объективной информации о деятельности Губернатора Курской области, Правительства Курской области, исполнительных органов Курской области, выполнение задач по защите национальных интересов России, по укреплению положительного имиджа Курской области в российском информационном пространстве Министерство осуществляет в первую очередь через государственные СМИ. Именно они несут основную информационную нагрузку при реализации государственной информационной политики, проводимой Министерством, поэтому их материально-техническая база должна соответствовать требованиям времени.</w:t>
      </w:r>
    </w:p>
    <w:p w14:paraId="1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Вместе с тем, необходим ремонт помещений, занимаемых редакциями районных газет. Четыре из них не имеют помещений, закрепленных за ними на праве оперативного управления, и по этой причине вынуждены арендовать помещения, находящиеся в муниципальной или частной собственности. У многих редакций исчерпали свой ресурс транспортные средства, необходимо обновление компьютерной техники и оргтехники, задействованной в производственном процессе по верстке газет и подготовке теле- и радиопрограмм, требуется переход на отечественное программное обеспечение.</w:t>
      </w:r>
    </w:p>
    <w:p w14:paraId="1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Серьезным негативным фактором, влияющим на результаты работы государственных печатных СМИ, являются сбои в работе ФГУП "Почта России" по доставке корреспонденции подписчикам (аналогичная ситуация сложилась в большинстве регионов России). Нехватка почтальонов отрицательно сказывается и на ходе подписных кампаний последних лет, в связи с чем редакции вынуждены применять альтернативные формы подписки, влекущие за собой дополнительные расходы.</w:t>
      </w:r>
    </w:p>
    <w:p w14:paraId="1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 связи с этим прогнозируются дальнейший отказ читателей от традиционных СМИ (газет) и увеличение числа пользователей интернет-ресурсов СМИ, социальных сетей и возможное формирование государственного задания для сетевых изданий, которые будут регистрироваться в установленном порядке.</w:t>
      </w:r>
    </w:p>
    <w:p w14:paraId="1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Сложившаяся ситуация требует дальнейшего совершенствования материально-технической базы подведомственных учреждений в целях цифровой трансформации отрасли СМИ и продолжения работы по внедрению элементов дополнительной реальности для печатных изданий.</w:t>
      </w:r>
    </w:p>
    <w:p w14:paraId="1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 целях укрепления авторитета регионального телевидения предполагается создание и активное использование интерактивных виртуальных студий, в том числе с элементами искусственного интеллекта.</w:t>
      </w:r>
    </w:p>
    <w:p w14:paraId="1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Внедрение современных технологий вносит изменения и в информационную политику, определяемую для подведомственных СМИ. Тематически это направления, связанные с информационной безопасностью, финансовой грамотностью, в том числе деятельностью некоммерческих организаций в этой сфере. В перспективе это сформирует запрос гражданского общества на информационную продукцию и будет способствовать переходу к новым способам получения и передачи информации.</w:t>
      </w:r>
    </w:p>
    <w:p w14:paraId="1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Указанные проблемы будут решаться в том числе программным методом в рамках реализации государственной программы.</w:t>
      </w:r>
    </w:p>
    <w:p w14:paraId="1F000000">
      <w:pPr>
        <w:pStyle w:val="Style_1"/>
        <w:widowControl w:val="1"/>
        <w:ind/>
        <w:jc w:val="both"/>
      </w:pPr>
    </w:p>
    <w:p w14:paraId="20000000">
      <w:pPr>
        <w:pStyle w:val="Style_2"/>
        <w:widowControl w:val="1"/>
        <w:ind/>
        <w:jc w:val="center"/>
        <w:outlineLvl w:val="2"/>
      </w:pPr>
      <w:r>
        <w:rPr>
          <w:sz w:val="24"/>
        </w:rPr>
        <w:t>2. Описание приоритетов и целей государственной политики</w:t>
      </w:r>
    </w:p>
    <w:p w14:paraId="21000000">
      <w:pPr>
        <w:pStyle w:val="Style_2"/>
        <w:widowControl w:val="1"/>
        <w:ind/>
        <w:jc w:val="center"/>
      </w:pPr>
      <w:r>
        <w:rPr>
          <w:sz w:val="24"/>
        </w:rPr>
        <w:t>в сфере реализации государственной программы</w:t>
      </w:r>
    </w:p>
    <w:p w14:paraId="22000000">
      <w:pPr>
        <w:pStyle w:val="Style_1"/>
        <w:widowControl w:val="1"/>
        <w:ind/>
        <w:jc w:val="center"/>
      </w:pPr>
    </w:p>
    <w:p w14:paraId="23000000">
      <w:pPr>
        <w:pStyle w:val="Style_1"/>
        <w:widowControl w:val="1"/>
        <w:ind w:firstLine="540"/>
        <w:jc w:val="both"/>
      </w:pPr>
      <w:r>
        <w:rPr>
          <w:sz w:val="24"/>
        </w:rPr>
        <w:t>Приоритеты государственной политики в сфере реализации государственной программы определены в следующих документах:</w:t>
      </w:r>
    </w:p>
    <w:p w14:paraId="24000000">
      <w:pPr>
        <w:pStyle w:val="Style_1"/>
        <w:widowControl w:val="1"/>
        <w:spacing w:before="240"/>
        <w:ind w:firstLine="540"/>
        <w:jc w:val="both"/>
      </w:pP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"https://login.consultant.ru/link/?req=doc&amp;base=LAW&amp;n=510517&amp;date=09.10.2025" \o "Закон РФ от 27.12.1991 N 2124-1 (ред. от 23.07.2025) "О средствах массовой информации"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Российской Федерации от 27 декабря 1991 года N 2124-1 "О средствах массовой информации";</w:t>
      </w:r>
    </w:p>
    <w:p w14:paraId="2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Федеральный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"https://login.consultant.ru/link/?req=doc&amp;base=LAW&amp;n=422007&amp;date=09.10.2025" \o "Федеральный закон от 09.02.2009 N 8-ФЗ (ред. от 14.07.2022) "Об обеспечении доступа к информации о деятельности государственных органов и органов местного самоуправления"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самоуправления";</w:t>
      </w:r>
    </w:p>
    <w:p w14:paraId="26000000">
      <w:pPr>
        <w:pStyle w:val="Style_1"/>
        <w:widowControl w:val="1"/>
        <w:spacing w:before="240"/>
        <w:ind w:firstLine="540"/>
        <w:jc w:val="both"/>
      </w:pP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"https://login.consultant.ru/link/?req=doc&amp;base=LAW&amp;n=208191&amp;date=09.10.2025" \o "Указ Президента РФ от 05.12.2016 N 646 "Об утверждении Доктрины информационной безопасности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Указ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Президента Российской Федерации от 5 декабря 2016 года N 646 "Об утверждении Доктрины информационной безопасности Российской Федерации";</w:t>
      </w:r>
    </w:p>
    <w:p w14:paraId="27000000">
      <w:pPr>
        <w:pStyle w:val="Style_1"/>
        <w:widowControl w:val="1"/>
        <w:spacing w:before="240"/>
        <w:ind w:firstLine="540"/>
        <w:jc w:val="both"/>
      </w:pP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"https://login.consultant.ru/link/?req=doc&amp;base=LAW&amp;n=216363&amp;date=09.10.2025" \o "Указ Президента РФ от 09.05.2017 N 203 "О Стратегии развития информационного общества в Российской Федерации на 2017 - 2030 годы"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Указ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Президента Российской Федерации от 9 мая 2017 года N 203 "О Стратегии развития информационного общества в Российской Федерации на 2017 - 2030 годы";</w:t>
      </w:r>
    </w:p>
    <w:p w14:paraId="28000000">
      <w:pPr>
        <w:pStyle w:val="Style_1"/>
        <w:widowControl w:val="1"/>
        <w:spacing w:before="240"/>
        <w:ind w:firstLine="540"/>
        <w:jc w:val="both"/>
      </w:pP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"https://login.consultant.ru/link/?req=doc&amp;base=LAW&amp;n=514105&amp;date=09.10.2025&amp;dst=100013&amp;field=134" \o "Распоряжение Правительства РФ от 11.09.2024 N 2501-р (ред. от 06.09.2025) &lt;Об утверждении Стратегии государственной культурной политики на период до 2030 года&gt;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Стратегия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государственной культурной политики на период до 2030 года, утвержденная Распоряжением Правительства Российской Федерации от 11 сентября 2024 г. N 2501-р;</w:t>
      </w:r>
    </w:p>
    <w:p w14:paraId="29000000">
      <w:pPr>
        <w:pStyle w:val="Style_1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"https://login.consultant.ru/link/?req=doc&amp;base=RLAW417&amp;n=132715&amp;date=09.10.2025&amp;dst=100010&amp;field=134" \o "Постановление Правительства Курской области от 23.06.2025 N 458-пп "О внесении изменения в государственную программу Курской области "Реализация государственной политики в сфере печати и массовой информации в Курской области"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Курской области от 23.06.2025 N 458-пп)</w:t>
      </w:r>
    </w:p>
    <w:p w14:paraId="2A000000">
      <w:pPr>
        <w:pStyle w:val="Style_1"/>
        <w:widowControl w:val="1"/>
        <w:spacing w:before="240"/>
        <w:ind w:firstLine="540"/>
        <w:jc w:val="both"/>
      </w:pP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"https://login.consultant.ru/link/?req=doc&amp;base=RLAW417&amp;n=128529&amp;date=09.10.2025" \o "Закон Курской области от 14.12.2020 N 100-ЗКО (ред. от 07.02.2025) "О Стратегии социально-экономического развития Курской области на период до 2030 года" (принят Курской областной Думой 11.12.2020)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Курской области от 14 декабря 2020 года N 100-ЗКО "О Стратегии социально-экономического развития Курской области на период до 2030 года".</w:t>
      </w:r>
    </w:p>
    <w:p w14:paraId="2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Приоритетами и целями государственной политики в сфере реализации государственной программы в том числе являются:</w:t>
      </w:r>
    </w:p>
    <w:p w14:paraId="2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учреждение средств массовой информации, владение, пользование и распоряжение ими;</w:t>
      </w:r>
    </w:p>
    <w:p w14:paraId="2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открытость и доступность информации о деятельности государственных органов и органов местного самоуправления;</w:t>
      </w:r>
    </w:p>
    <w:p w14:paraId="2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обеспечение и защита конституционных прав и свобод человека и гражданина в части, касающейся получения и использования информации;</w:t>
      </w:r>
    </w:p>
    <w:p w14:paraId="2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доведение до российской и международной общественности достоверной информации о государственной политике Российской Федерации и ее официальной позиции по социально значимым событиям в стране и мире;</w:t>
      </w:r>
    </w:p>
    <w:p w14:paraId="3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14:paraId="3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развитие информационной и коммуникационной инфраструктуры Российской Федерации;</w:t>
      </w:r>
    </w:p>
    <w:p w14:paraId="3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повышение грамотности населения в вопросах защиты населения и территории от чрезвычайных ситуаций с использованием средств массовой информации и сети "Интернет";</w:t>
      </w:r>
    </w:p>
    <w:p w14:paraId="3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организация своевременного информирования населения об угрозе возникновения или о возникновении чрезвычайных ситуаций, в том числе в местах массового пребывания людей;</w:t>
      </w:r>
    </w:p>
    <w:p w14:paraId="3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формирование информационной грамотности граждан, в том числе путем повышения качества материалов и информации, размещаемых в средствах массовой информации и информационно-телекоммуникационной сети "Интернет".</w:t>
      </w:r>
    </w:p>
    <w:p w14:paraId="35000000">
      <w:pPr>
        <w:pStyle w:val="Style_1"/>
        <w:widowControl w:val="1"/>
        <w:ind/>
        <w:jc w:val="both"/>
      </w:pPr>
    </w:p>
    <w:p w14:paraId="36000000">
      <w:pPr>
        <w:pStyle w:val="Style_2"/>
        <w:widowControl w:val="1"/>
        <w:ind/>
        <w:jc w:val="center"/>
        <w:outlineLvl w:val="2"/>
      </w:pPr>
      <w:r>
        <w:rPr>
          <w:sz w:val="24"/>
        </w:rPr>
        <w:t>3. Задачи государственного управления, способы их</w:t>
      </w:r>
    </w:p>
    <w:p w14:paraId="37000000">
      <w:pPr>
        <w:pStyle w:val="Style_2"/>
        <w:widowControl w:val="1"/>
        <w:ind/>
        <w:jc w:val="center"/>
      </w:pPr>
      <w:r>
        <w:rPr>
          <w:sz w:val="24"/>
        </w:rPr>
        <w:t>эффективного решения в соответствующей отрасли экономики</w:t>
      </w:r>
    </w:p>
    <w:p w14:paraId="38000000">
      <w:pPr>
        <w:pStyle w:val="Style_2"/>
        <w:widowControl w:val="1"/>
        <w:ind/>
        <w:jc w:val="center"/>
      </w:pPr>
      <w:r>
        <w:rPr>
          <w:sz w:val="24"/>
        </w:rPr>
        <w:t>и сфере государственного управления Курской области</w:t>
      </w:r>
    </w:p>
    <w:p w14:paraId="39000000">
      <w:pPr>
        <w:pStyle w:val="Style_1"/>
        <w:widowControl w:val="1"/>
        <w:ind w:left="540"/>
        <w:jc w:val="both"/>
      </w:pPr>
    </w:p>
    <w:p w14:paraId="3A000000">
      <w:pPr>
        <w:pStyle w:val="Style_1"/>
        <w:widowControl w:val="1"/>
        <w:ind w:firstLine="540"/>
        <w:jc w:val="both"/>
      </w:pPr>
      <w:r>
        <w:rPr>
          <w:sz w:val="24"/>
        </w:rPr>
        <w:t>В рамках реализации государственной политики в сфере реализации государственной программы предусмотрено достижение цели - обеспечение конституционного права граждан на получение объективной информации о деятельности Губернатора Курской области, Правительства Курской области, исполнительных органов Курской области, сохранение и развитие государственного информационного ресурса Курской области.</w:t>
      </w:r>
    </w:p>
    <w:p w14:paraId="3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Достижение цели государственной программы будет обеспечиваться путем решения следующих задач:</w:t>
      </w:r>
    </w:p>
    <w:p w14:paraId="3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обеспечение конституционного права граждан на получение объективной информации о деятельности исполнительных органов Курской области;</w:t>
      </w:r>
    </w:p>
    <w:p w14:paraId="3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обеспечение деятельности Министерства;</w:t>
      </w:r>
    </w:p>
    <w:p w14:paraId="3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поощрение творческой деятельности журналистов Курской области за лучшее освещение в средствах массовой информации социально-экономического развития Курской области.</w:t>
      </w:r>
    </w:p>
    <w:p w14:paraId="3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Ожидаемым результатом реализации государственной программы является достижение к 2030 году уровня удовлетворенности населения Курской области информационным освещением деятельности органов власти Курской области - 56,9%.</w:t>
      </w:r>
    </w:p>
    <w:p w14:paraId="4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Указанные задачи решаются в том числе следующими способами:</w:t>
      </w:r>
    </w:p>
    <w:p w14:paraId="4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путем реализации комплекса процессных мероприятий "Обеспечение эффективной информационной политики и развитие государственных средств массовой информации";</w:t>
      </w:r>
    </w:p>
    <w:p w14:paraId="4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путем реализации комплекса процессных мероприятий "Обеспечение деятельности Министерства информации и общественных коммуникаций Курской области и мероприятий в сфере печати и массовой информации".</w:t>
      </w:r>
    </w:p>
    <w:p w14:paraId="43000000">
      <w:pPr>
        <w:pStyle w:val="Style_1"/>
        <w:widowControl w:val="1"/>
        <w:ind w:firstLine="540"/>
        <w:jc w:val="both"/>
      </w:pPr>
    </w:p>
    <w:p w14:paraId="44000000">
      <w:pPr>
        <w:pStyle w:val="Style_2"/>
        <w:widowControl w:val="1"/>
        <w:ind/>
        <w:jc w:val="center"/>
        <w:outlineLvl w:val="2"/>
      </w:pPr>
      <w:r>
        <w:rPr>
          <w:sz w:val="24"/>
        </w:rPr>
        <w:t>4. Задачи, определенные в соответствии с национальными</w:t>
      </w:r>
    </w:p>
    <w:p w14:paraId="45000000">
      <w:pPr>
        <w:pStyle w:val="Style_2"/>
        <w:widowControl w:val="1"/>
        <w:ind/>
        <w:jc w:val="center"/>
      </w:pPr>
      <w:r>
        <w:rPr>
          <w:sz w:val="24"/>
        </w:rPr>
        <w:t>целями</w:t>
      </w:r>
    </w:p>
    <w:p w14:paraId="46000000">
      <w:pPr>
        <w:pStyle w:val="Style_1"/>
        <w:widowControl w:val="1"/>
        <w:ind/>
        <w:jc w:val="center"/>
      </w:pPr>
    </w:p>
    <w:p w14:paraId="47000000">
      <w:pPr>
        <w:pStyle w:val="Style_1"/>
        <w:widowControl w:val="1"/>
        <w:ind/>
        <w:jc w:val="center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"https://login.consultant.ru/link/?req=doc&amp;base=RLAW417&amp;n=123030&amp;date=09.10.2025&amp;dst=100010&amp;field=134" \o "Постановление Правительства Курской области от 13.08.2024 N 645-пп "О внесении изменения в государственную программу Курской области "Реализация государственной политики в сфере печати и массовой информации в Курской области"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Курской области</w:t>
      </w:r>
    </w:p>
    <w:p w14:paraId="48000000">
      <w:pPr>
        <w:pStyle w:val="Style_1"/>
        <w:widowControl w:val="1"/>
        <w:ind/>
        <w:jc w:val="center"/>
      </w:pPr>
      <w:r>
        <w:rPr>
          <w:sz w:val="24"/>
        </w:rPr>
        <w:t>от 13.08.2024 N 645-пп)</w:t>
      </w:r>
    </w:p>
    <w:p w14:paraId="49000000">
      <w:pPr>
        <w:pStyle w:val="Style_1"/>
        <w:widowControl w:val="1"/>
        <w:ind w:firstLine="540"/>
        <w:jc w:val="both"/>
      </w:pPr>
    </w:p>
    <w:p w14:paraId="4A000000">
      <w:pPr>
        <w:pStyle w:val="Style_1"/>
        <w:widowControl w:val="1"/>
        <w:ind w:firstLine="540"/>
        <w:jc w:val="both"/>
      </w:pPr>
      <w:r>
        <w:rPr>
          <w:sz w:val="24"/>
        </w:rPr>
        <w:t xml:space="preserve">Государственная программа способствует реализации национальной цели "Цифровая трансформация государственного и муниципального управления, экономики и социальной сферы", определенной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"https://login.consultant.ru/link/?req=doc&amp;base=LAW&amp;n=475991&amp;date=09.10.2025" \o "Указ Президента РФ от 07.05.2024 N 309 "О национальных целях развития Российской Федерации на период до 2030 года и на перспективу до 2036 года"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Указом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путем решения задач, предусмотренных государственной программой.</w:t>
      </w:r>
    </w:p>
    <w:p w14:paraId="4B000000">
      <w:pPr>
        <w:pStyle w:val="Style_1"/>
      </w:pPr>
    </w:p>
    <w:p w14:paraId="4C000000">
      <w:pPr>
        <w:pStyle w:val="Style_1"/>
      </w:pPr>
      <w:r>
        <w:rPr>
          <w:i w:val="1"/>
          <w:color w:val="0000FF"/>
          <w:sz w:val="24"/>
        </w:rPr>
        <w:fldChar w:fldCharType="begin"/>
      </w:r>
      <w:r>
        <w:rPr>
          <w:i w:val="1"/>
          <w:color w:val="0000FF"/>
          <w:sz w:val="24"/>
        </w:rPr>
        <w:instrText>HYPERLINK "https://login.consultant.ru/link/?req=doc&amp;base=RLAW417&amp;n=132764&amp;date=09.10.2025&amp;dst=133712&amp;field=134" \o "Постановление Администрации Курской области от 02.10.2013 N 692-па (ред. от 23.06.2025) "Об утверждении государственной программы Курской области "Реализация государственной политики в сфере печати и массовой информации в Курской области" (вместе с "Перечнем нормативных правовых актов Курской области, признанных утратившими силу") {КонсультантПлюс}"</w:instrText>
      </w:r>
      <w:r>
        <w:rPr>
          <w:i w:val="1"/>
          <w:color w:val="0000FF"/>
          <w:sz w:val="24"/>
        </w:rPr>
        <w:fldChar w:fldCharType="separate"/>
      </w:r>
      <w:r>
        <w:rPr>
          <w:i w:val="1"/>
          <w:color w:val="0000FF"/>
          <w:sz w:val="24"/>
        </w:rPr>
        <w:br/>
      </w:r>
      <w:r>
        <w:rPr>
          <w:i w:val="1"/>
          <w:color w:val="0000FF"/>
          <w:sz w:val="24"/>
        </w:rPr>
        <w:fldChar w:fldCharType="end"/>
      </w:r>
      <w:r>
        <w:rPr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JurTerm"/>
    <w:link w:val="Style_10_ch"/>
    <w:pPr>
      <w:widowControl w:val="0"/>
      <w:ind/>
    </w:pPr>
    <w:rPr>
      <w:rFonts w:ascii="Tahoma" w:hAnsi="Tahoma"/>
      <w:sz w:val="26"/>
    </w:rPr>
  </w:style>
  <w:style w:styleId="Style_10_ch" w:type="character">
    <w:name w:val="ConsPlusJurTerm"/>
    <w:link w:val="Style_10"/>
    <w:rPr>
      <w:rFonts w:ascii="Tahoma" w:hAnsi="Tahoma"/>
      <w:sz w:val="26"/>
    </w:rPr>
  </w:style>
  <w:style w:styleId="Style_11" w:type="paragraph">
    <w:name w:val="ConsPlusDocList"/>
    <w:link w:val="Style_11_ch"/>
    <w:pPr>
      <w:widowControl w:val="0"/>
      <w:ind/>
    </w:pPr>
    <w:rPr>
      <w:rFonts w:ascii="Tahoma" w:hAnsi="Tahoma"/>
      <w:sz w:val="18"/>
    </w:rPr>
  </w:style>
  <w:style w:styleId="Style_11_ch" w:type="character">
    <w:name w:val="ConsPlusDocList"/>
    <w:link w:val="Style_11"/>
    <w:rPr>
      <w:rFonts w:ascii="Tahoma" w:hAnsi="Tahoma"/>
      <w:sz w:val="18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TextList"/>
    <w:link w:val="Style_13_ch"/>
    <w:pPr>
      <w:widowControl w:val="0"/>
      <w:ind/>
    </w:pPr>
    <w:rPr>
      <w:rFonts w:ascii="Times New Roman" w:hAnsi="Times New Roman"/>
      <w:sz w:val="24"/>
    </w:rPr>
  </w:style>
  <w:style w:styleId="Style_13_ch" w:type="character">
    <w:name w:val="ConsPlusTextList"/>
    <w:link w:val="Style_13"/>
    <w:rPr>
      <w:rFonts w:ascii="Times New Roman" w:hAnsi="Times New Roman"/>
      <w:sz w:val="24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20" w:type="paragraph">
    <w:name w:val="ConsPlusTitlePage"/>
    <w:link w:val="Style_20_ch"/>
    <w:pPr>
      <w:widowControl w:val="0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ConsPlusTextList"/>
    <w:link w:val="Style_24_ch"/>
    <w:pPr>
      <w:widowControl w:val="0"/>
      <w:ind/>
    </w:pPr>
    <w:rPr>
      <w:rFonts w:ascii="Times New Roman" w:hAnsi="Times New Roman"/>
      <w:sz w:val="24"/>
    </w:rPr>
  </w:style>
  <w:style w:styleId="Style_24_ch" w:type="character">
    <w:name w:val="ConsPlusTextList"/>
    <w:link w:val="Style_24"/>
    <w:rPr>
      <w:rFonts w:ascii="Times New Roman" w:hAnsi="Times New Roman"/>
      <w:sz w:val="24"/>
    </w:rPr>
  </w:style>
  <w:style w:styleId="Style_25" w:type="paragraph">
    <w:name w:val="ConsPlusCell"/>
    <w:link w:val="Style_25_ch"/>
    <w:pPr>
      <w:widowControl w:val="0"/>
      <w:ind/>
    </w:pPr>
    <w:rPr>
      <w:rFonts w:ascii="Courier New" w:hAnsi="Courier New"/>
      <w:sz w:val="20"/>
    </w:rPr>
  </w:style>
  <w:style w:styleId="Style_25_ch" w:type="character">
    <w:name w:val="ConsPlusCell"/>
    <w:link w:val="Style_25"/>
    <w:rPr>
      <w:rFonts w:ascii="Courier New" w:hAnsi="Courier New"/>
      <w:sz w:val="20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2025-10-09T08:13:19Z</dcterms:created>
  <dcterms:modified xsi:type="dcterms:W3CDTF">2025-10-09T08:13:19Z</dcterms:modified>
</cp:coreProperties>
</file>