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FF" w:rsidRDefault="00507AF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730"/>
        <w:gridCol w:w="2508"/>
        <w:gridCol w:w="2523"/>
        <w:gridCol w:w="2523"/>
        <w:gridCol w:w="902"/>
        <w:gridCol w:w="277"/>
        <w:gridCol w:w="1342"/>
        <w:gridCol w:w="903"/>
      </w:tblGrid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07AFF" w:rsidRDefault="008E6650">
            <w:pPr>
              <w:spacing w:after="0"/>
              <w:ind w:left="55" w:right="55"/>
              <w:jc w:val="center"/>
            </w:pPr>
            <w:r>
              <w:t>Утвержден</w:t>
            </w:r>
          </w:p>
          <w:p w:rsidR="008E6650" w:rsidRDefault="008E6650">
            <w:pPr>
              <w:spacing w:after="0"/>
              <w:ind w:left="55" w:right="55"/>
              <w:jc w:val="center"/>
            </w:pPr>
            <w:r>
              <w:t>ПРОТОКОЛОМ заседания президиума</w:t>
            </w:r>
          </w:p>
          <w:p w:rsidR="008E6650" w:rsidRDefault="008E6650">
            <w:pPr>
              <w:spacing w:after="0"/>
              <w:ind w:left="55" w:right="55"/>
              <w:jc w:val="center"/>
            </w:pPr>
            <w:r>
              <w:t xml:space="preserve">Совета по </w:t>
            </w:r>
            <w:proofErr w:type="gramStart"/>
            <w:r>
              <w:t>стратегическому</w:t>
            </w:r>
            <w:proofErr w:type="gramEnd"/>
            <w:r>
              <w:t xml:space="preserve"> развитию и проектам (программам)</w:t>
            </w:r>
          </w:p>
          <w:p w:rsidR="008E6650" w:rsidRDefault="008E6650">
            <w:pPr>
              <w:spacing w:after="0"/>
              <w:ind w:left="55" w:right="55"/>
              <w:jc w:val="center"/>
            </w:pPr>
            <w:r>
              <w:t>от 28.12.2024</w:t>
            </w:r>
          </w:p>
          <w:p w:rsidR="008E6650" w:rsidRDefault="008E6650">
            <w:pPr>
              <w:spacing w:after="0"/>
              <w:ind w:left="55" w:right="55"/>
              <w:jc w:val="center"/>
            </w:pPr>
            <w:r>
              <w:t xml:space="preserve">№ 05-01/52 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EF085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регионального проекта</w:t>
            </w:r>
          </w:p>
        </w:tc>
        <w:tc>
          <w:tcPr>
            <w:tcW w:w="255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2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«Эффекти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вный регион»</w:t>
            </w: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507AFF" w:rsidRDefault="00EF085D" w:rsidP="008E665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 проекта</w:t>
            </w:r>
          </w:p>
        </w:tc>
        <w:tc>
          <w:tcPr>
            <w:tcW w:w="8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01.01.2024 - 31.12.2025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регионального проекта</w:t>
            </w:r>
          </w:p>
        </w:tc>
        <w:tc>
          <w:tcPr>
            <w:tcW w:w="23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Денисов Роман Юрьевич</w:t>
            </w:r>
          </w:p>
        </w:tc>
        <w:tc>
          <w:tcPr>
            <w:tcW w:w="23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Губернатора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Руководитель регионального проекта</w:t>
            </w:r>
          </w:p>
        </w:tc>
        <w:tc>
          <w:tcPr>
            <w:tcW w:w="23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</w:t>
            </w:r>
          </w:p>
        </w:tc>
        <w:tc>
          <w:tcPr>
            <w:tcW w:w="23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ПРЕДСЕДАТЕЛЯ ПРАВИТЕЛЬСТВА КУРСКОЙ ОБЛАСТИ - МИНИСТРА 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Администратор регионального проекта</w:t>
            </w:r>
          </w:p>
        </w:tc>
        <w:tc>
          <w:tcPr>
            <w:tcW w:w="23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Суглобова Светлана Николаевна</w:t>
            </w:r>
          </w:p>
        </w:tc>
        <w:tc>
          <w:tcPr>
            <w:tcW w:w="23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государственными программами (комплексными программами) Российской Федерации и с государственными программами (комплексными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</w:t>
            </w:r>
          </w:p>
        </w:tc>
        <w:tc>
          <w:tcPr>
            <w:tcW w:w="232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экономики и внешних связей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</w:tbl>
    <w:p w:rsidR="00507AFF" w:rsidRDefault="00507AF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12"/>
        <w:gridCol w:w="3695"/>
        <w:gridCol w:w="2324"/>
        <w:gridCol w:w="2320"/>
        <w:gridCol w:w="1754"/>
        <w:gridCol w:w="1673"/>
        <w:gridCol w:w="1665"/>
        <w:gridCol w:w="1665"/>
      </w:tblGrid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6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регионального проекта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65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1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Показатели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регионального проекта</w:t>
            </w:r>
          </w:p>
        </w:tc>
        <w:tc>
          <w:tcPr>
            <w:tcW w:w="25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5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9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91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Период, год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65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410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«Формирование бережливого сознания посредством предоставления органам исполнительной власти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»»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вовлеченных в реализацию проекта органов исполнительной власти Курской области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вовлеченных в реализацию проекта муниципальных образований (городских округов и муниципальных районов)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вовлеченных в реализацию проекта организаций (учреждений, предприятий)</w:t>
            </w:r>
          </w:p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сотрудников органов исполнительной власти Курской области,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 Курской области, организаций Курской области участников проекта, прошедших обучение в рамках реализации мероприятий по повышению эффективности деятельности на основе применения принципов и инструментов бережливого производства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обучающихся средних образовательных организаций, профессиональных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организаций и образовательных организаций высшего образования Курской области, обученных основам бережливого производства</w:t>
            </w:r>
            <w:proofErr w:type="gramEnd"/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1.6.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учебно-производственных площадок «Фабрика процессов»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обученных сотрудников организаций - участников проекта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производственных площадках «Фабрика процессов»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410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«Бережливая инициатива»»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вовлеченных в реализацию проекта некоммерческих организаций (учреждений и организаций всех форм собственности) Курской области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конкурса «Бережливая инициатива»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5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19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9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</w:tbl>
    <w:p w:rsidR="00507AFF" w:rsidRDefault="00507AF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96"/>
        <w:gridCol w:w="2121"/>
        <w:gridCol w:w="1853"/>
        <w:gridCol w:w="1389"/>
        <w:gridCol w:w="821"/>
        <w:gridCol w:w="576"/>
        <w:gridCol w:w="595"/>
        <w:gridCol w:w="601"/>
        <w:gridCol w:w="613"/>
        <w:gridCol w:w="595"/>
        <w:gridCol w:w="588"/>
        <w:gridCol w:w="629"/>
        <w:gridCol w:w="627"/>
        <w:gridCol w:w="586"/>
        <w:gridCol w:w="592"/>
        <w:gridCol w:w="592"/>
        <w:gridCol w:w="596"/>
        <w:gridCol w:w="593"/>
        <w:gridCol w:w="1345"/>
      </w:tblGrid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регионального проекта в 2024 году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прокси-показателя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</w:t>
            </w:r>
          </w:p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7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3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3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</w:tbl>
    <w:p w:rsidR="00507AFF" w:rsidRDefault="00507AF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0"/>
        <w:gridCol w:w="2393"/>
        <w:gridCol w:w="1505"/>
        <w:gridCol w:w="1501"/>
        <w:gridCol w:w="817"/>
        <w:gridCol w:w="819"/>
        <w:gridCol w:w="824"/>
        <w:gridCol w:w="817"/>
        <w:gridCol w:w="815"/>
        <w:gridCol w:w="830"/>
        <w:gridCol w:w="829"/>
        <w:gridCol w:w="814"/>
        <w:gridCol w:w="816"/>
        <w:gridCol w:w="816"/>
        <w:gridCol w:w="818"/>
        <w:gridCol w:w="894"/>
      </w:tblGrid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регионального проекта в 2024 году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5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9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9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 «Формирование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ользованием методов и инструментов бережливого производства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»»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оличество вовлеченных в реализацию проекта органов исполнительной власти Курской области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вовлеченных в реализацию проекта муниципальных образований (городских округов и муниципальных районов) Курской области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ичество вовлеченных в реализацию проекта организаций (учреждений, предприятий)</w:t>
            </w:r>
          </w:p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сотрудников органов исполнительной власти Курской области, муниципальных образований Курской области,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заций Курской области участников проекта, прошедших обучение в рамках реализации мероприятий по повышению эффективности деятельности на основе применения принципов и инструментов бережливого производства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ичество обучающихся средних образовательных организаций, профессиональных образовательных организаций и образовательных организаций высшего образования Курской области, обученных основам бережливого производства</w:t>
            </w:r>
            <w:proofErr w:type="gramEnd"/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1.6.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ичество созданных учебно-производственных площадок «Фабрика процессов»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ичество обученных сотрудников организаций - участников проекта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учебн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производственных площадках «Фабрика процессов»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 «Повышение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предоставления на конкурсной основе грантов «Бережливая инициатива»»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вовлеченных в реализацию проекта некоммерческих организаций (учреждений и организаций всех форм собственности) Курской области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конкурса «Бережливая инициатива»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</w:tbl>
    <w:p w:rsidR="00507AFF" w:rsidRDefault="00507AF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5"/>
        <w:gridCol w:w="2800"/>
        <w:gridCol w:w="2797"/>
        <w:gridCol w:w="1774"/>
        <w:gridCol w:w="862"/>
        <w:gridCol w:w="734"/>
        <w:gridCol w:w="839"/>
        <w:gridCol w:w="796"/>
        <w:gridCol w:w="1328"/>
        <w:gridCol w:w="1359"/>
        <w:gridCol w:w="1884"/>
      </w:tblGrid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5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Мероприятия (результаты) регионального проекта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34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33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21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ОКЕИ)</w:t>
            </w:r>
          </w:p>
        </w:tc>
        <w:tc>
          <w:tcPr>
            <w:tcW w:w="8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41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мероприятия (результата)</w:t>
            </w:r>
          </w:p>
        </w:tc>
        <w:tc>
          <w:tcPr>
            <w:tcW w:w="141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мероприятия (результата)</w:t>
            </w:r>
          </w:p>
        </w:tc>
        <w:tc>
          <w:tcPr>
            <w:tcW w:w="20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регионального проекта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34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3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1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41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0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3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1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20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34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процессов с использованием методов и инструментов бережливого производства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3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проекты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повышению эффективности деятельности на основе применения принципов и инструментов бережливого производства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21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(выполнение работ)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Региональный</w:t>
            </w:r>
          </w:p>
        </w:tc>
        <w:tc>
          <w:tcPr>
            <w:tcW w:w="20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вовлеченных в реализацию проекта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изаций (учреждений, предприятий)</w:t>
            </w:r>
          </w:p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1.1.1.</w:t>
            </w:r>
          </w:p>
        </w:tc>
        <w:tc>
          <w:tcPr>
            <w:tcW w:w="33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реализованных проектов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исполнительной власти Курской области и муниципальных образованиях Курской области</w:t>
            </w:r>
          </w:p>
        </w:tc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1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0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34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эффективности деятельности некоммерческих организаций на территории Курской области на основе применения принципов и инструментов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бережливого производства за счет предоставления на конкурсной основе грантов «Бережливая инициатива»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3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проекты по повышению эффективности деятельности на основе применения принципов и инструментов бережливого производства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нных и муниципальных услуг – победителях конкурса на предоставление грантов «Бережливая инициатива»</w:t>
            </w:r>
            <w:proofErr w:type="gramEnd"/>
          </w:p>
        </w:tc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1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</w:t>
            </w:r>
          </w:p>
        </w:tc>
        <w:tc>
          <w:tcPr>
            <w:tcW w:w="20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вовлеченных в реализацию проекта некоммерческих организаций (учрежде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ний и организаций всех форм собственности) Курской области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конкурса «Бережливая инициатива»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2.1.1.</w:t>
            </w:r>
          </w:p>
        </w:tc>
        <w:tc>
          <w:tcPr>
            <w:tcW w:w="33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реализованных проектов по повышению эффективности деятельности на основе применения принципов и инструментов бережливого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ния государственных и муниципальных услуг – победителях конкурса на предоставление грантов «Бережливая инициатива»</w:t>
            </w:r>
            <w:proofErr w:type="gramEnd"/>
          </w:p>
        </w:tc>
        <w:tc>
          <w:tcPr>
            <w:tcW w:w="33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1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4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0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</w:tbl>
    <w:p w:rsidR="00507AFF" w:rsidRDefault="00507AF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07"/>
        <w:gridCol w:w="6766"/>
        <w:gridCol w:w="2684"/>
        <w:gridCol w:w="2684"/>
        <w:gridCol w:w="2767"/>
      </w:tblGrid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реализации регионального проекта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507AFF" w:rsidRDefault="00EF085D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83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(результата) и источники финансового обеспечения</w:t>
            </w:r>
          </w:p>
        </w:tc>
        <w:tc>
          <w:tcPr>
            <w:tcW w:w="32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327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 (тыс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ублей)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3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327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бережливого сознания посредством предоставления органам исполнительной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1 661,91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4 336,70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образованиях Курской области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1 661,91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4 336,70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1 661,91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4 336,70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1.1.1.2.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Российской Федерации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1.1.3.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1.1.4.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 счет предоставления на конкурсной основе грантов «Бережливая инициатива»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4 000,00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альных услуг – победителях конкурса на предоставление грантов «Бережливая инициатива»</w:t>
            </w:r>
            <w:proofErr w:type="gramEnd"/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4 000,00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бюджета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2.1.1.1.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2.1.1.2.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бюджету территориального государственного внебюджетного фонда Российской Федерации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2.1.3.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2.1.4.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83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 ПО РЕГИОНАЛЬНОМУ ПРОЕКТУ: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3 661,91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8 336,70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3 161,91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2 674,79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5 836,70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бюджеты муниципальных образований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32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2 500,00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</w:tbl>
    <w:p w:rsidR="00507AFF" w:rsidRDefault="00507AF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14"/>
        <w:gridCol w:w="3600"/>
        <w:gridCol w:w="3494"/>
      </w:tblGrid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1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регионального проекта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финансирования дефицита бюджета субъекта Российской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Федерации</w:t>
            </w:r>
            <w:proofErr w:type="gramEnd"/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112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(тыс. рублей)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112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449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</w:tbl>
    <w:p w:rsidR="00507AFF" w:rsidRDefault="00507AFF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1"/>
        <w:gridCol w:w="3605"/>
        <w:gridCol w:w="937"/>
        <w:gridCol w:w="939"/>
        <w:gridCol w:w="965"/>
        <w:gridCol w:w="965"/>
        <w:gridCol w:w="987"/>
        <w:gridCol w:w="987"/>
        <w:gridCol w:w="987"/>
        <w:gridCol w:w="987"/>
        <w:gridCol w:w="987"/>
        <w:gridCol w:w="987"/>
        <w:gridCol w:w="987"/>
        <w:gridCol w:w="987"/>
      </w:tblGrid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6. Помесячный план исполнения бюджета субъекта Российской Федерации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507AFF" w:rsidRDefault="00EF085D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9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1028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 (тыс. рублей)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10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бережливого сознания посредством предоставления органам исполнительной власти Курской области, муниципальным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382,26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891,60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1 114,50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1 560,30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1 560,30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1 661,91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1 661,91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1 661,91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1 661,91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1 661,91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 за счет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предоставления на конкурсной основе грантов «Бережливая инициатива»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осуществляющих деятельность на территории Курской области в сферах образования, здравоохранения,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защиты населения, культуры и искусства, физической культуры и спорта, ветеринарии, экологии, предоставления государственных и муниципальных услуг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победителях конкурса на предоставление грантов «Бережливая инициатива»</w:t>
            </w:r>
            <w:proofErr w:type="gramEnd"/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</w:tr>
      <w:tr w:rsidR="008E6650" w:rsidTr="008E6650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ИТОГО: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382,26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891,60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1 114,50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1 560,30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1 560,30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1 661,91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1 661,91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3 661,91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3 661,91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7AFF" w:rsidRDefault="00EF085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3 661,91</w:t>
            </w:r>
          </w:p>
        </w:tc>
      </w:tr>
      <w:tr w:rsidR="00507AFF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AFF" w:rsidRDefault="00507AFF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7AFF" w:rsidRDefault="00507AFF">
            <w:pPr>
              <w:spacing w:after="0"/>
              <w:ind w:left="55" w:right="55"/>
            </w:pPr>
          </w:p>
        </w:tc>
      </w:tr>
    </w:tbl>
    <w:p w:rsidR="00EF085D" w:rsidRDefault="00EF085D"/>
    <w:sectPr w:rsidR="00EF085D" w:rsidSect="00507AFF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AFF"/>
    <w:rsid w:val="00507AFF"/>
    <w:rsid w:val="008E6650"/>
    <w:rsid w:val="00EF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507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2348</Words>
  <Characters>13389</Characters>
  <Application>Microsoft Office Word</Application>
  <DocSecurity>0</DocSecurity>
  <Lines>111</Lines>
  <Paragraphs>31</Paragraphs>
  <ScaleCrop>false</ScaleCrop>
  <Company/>
  <LinksUpToDate>false</LinksUpToDate>
  <CharactersWithSpaces>15706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Наталья Макаренко</cp:lastModifiedBy>
  <cp:revision>3</cp:revision>
  <dcterms:created xsi:type="dcterms:W3CDTF">2025-01-14T06:53:00Z</dcterms:created>
  <dcterms:modified xsi:type="dcterms:W3CDTF">2025-01-14T06:57:00Z</dcterms:modified>
</cp:coreProperties>
</file>