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0A" w:rsidRDefault="004D4A0A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D4A0A" w:rsidRDefault="00210F4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D4A0A" w:rsidRDefault="004D4A0A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D4A0A" w:rsidRDefault="00210F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D4A0A" w:rsidRDefault="00210F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достигнутых значениях показателей (индикаторов) государственной программы Курской области </w:t>
      </w:r>
    </w:p>
    <w:p w:rsidR="004D4A0A" w:rsidRDefault="00210F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«Развитие культуры в Курской области»  за 202</w:t>
      </w:r>
      <w:r w:rsidR="00A227D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D4A0A" w:rsidRDefault="00210F4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Комитет по культуре Курской области</w:t>
      </w:r>
    </w:p>
    <w:p w:rsidR="004D4A0A" w:rsidRDefault="004D4A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Spec="right" w:tblpY="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418"/>
        <w:gridCol w:w="992"/>
        <w:gridCol w:w="992"/>
        <w:gridCol w:w="993"/>
        <w:gridCol w:w="1134"/>
        <w:gridCol w:w="2976"/>
      </w:tblGrid>
      <w:tr w:rsidR="004D4A0A">
        <w:trPr>
          <w:tblHeader/>
        </w:trPr>
        <w:tc>
          <w:tcPr>
            <w:tcW w:w="851" w:type="dxa"/>
            <w:vMerge w:val="restart"/>
            <w:noWrap/>
          </w:tcPr>
          <w:p w:rsidR="004D4A0A" w:rsidRDefault="00210F4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237" w:type="dxa"/>
            <w:vMerge w:val="restart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индикаторов и показателей  Программы</w:t>
            </w:r>
          </w:p>
        </w:tc>
        <w:tc>
          <w:tcPr>
            <w:tcW w:w="1418" w:type="dxa"/>
            <w:vMerge w:val="restart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111" w:type="dxa"/>
            <w:gridSpan w:val="4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976" w:type="dxa"/>
            <w:vMerge w:val="restart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отклонений значения показателя (индикатора) за 2023 год (при наличии)</w:t>
            </w:r>
          </w:p>
        </w:tc>
      </w:tr>
      <w:tr w:rsidR="004D4A0A">
        <w:trPr>
          <w:tblHeader/>
        </w:trPr>
        <w:tc>
          <w:tcPr>
            <w:tcW w:w="851" w:type="dxa"/>
            <w:vMerge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vMerge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2127" w:type="dxa"/>
            <w:gridSpan w:val="2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976" w:type="dxa"/>
            <w:vMerge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0A">
        <w:trPr>
          <w:tblHeader/>
        </w:trPr>
        <w:tc>
          <w:tcPr>
            <w:tcW w:w="851" w:type="dxa"/>
            <w:vMerge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3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34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</w:tr>
      <w:tr w:rsidR="004D4A0A">
        <w:trPr>
          <w:trHeight w:val="520"/>
        </w:trPr>
        <w:tc>
          <w:tcPr>
            <w:tcW w:w="15593" w:type="dxa"/>
            <w:gridSpan w:val="8"/>
            <w:noWrap/>
          </w:tcPr>
          <w:p w:rsidR="004D4A0A" w:rsidRDefault="00210F47">
            <w:pPr>
              <w:pStyle w:val="ConsPlusNormal"/>
              <w:spacing w:before="120" w:after="12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Курской области «Развитие культуры в Курской области»</w:t>
            </w: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tabs>
                <w:tab w:val="left" w:pos="4320"/>
              </w:tabs>
              <w:ind w:right="33" w:hanging="2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      </w:r>
          </w:p>
        </w:tc>
        <w:tc>
          <w:tcPr>
            <w:tcW w:w="1418" w:type="dxa"/>
            <w:noWrap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73,2</w:t>
            </w:r>
          </w:p>
        </w:tc>
        <w:tc>
          <w:tcPr>
            <w:tcW w:w="992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73,3</w:t>
            </w:r>
          </w:p>
        </w:tc>
        <w:tc>
          <w:tcPr>
            <w:tcW w:w="1134" w:type="dxa"/>
            <w:noWrap/>
          </w:tcPr>
          <w:p w:rsidR="004D4A0A" w:rsidRPr="00465FCD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4A0A" w:rsidRPr="00465FCD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4A0A" w:rsidRPr="00465FCD" w:rsidRDefault="00210F47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465F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5FCD" w:rsidRPr="00465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</w:t>
            </w:r>
          </w:p>
        </w:tc>
      </w:tr>
      <w:tr w:rsidR="004D4A0A">
        <w:trPr>
          <w:trHeight w:val="684"/>
        </w:trPr>
        <w:tc>
          <w:tcPr>
            <w:tcW w:w="851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Количество посещений организаций культуры по отношению к уровню 2017 года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2976" w:type="dxa"/>
            <w:noWrap/>
          </w:tcPr>
          <w:p w:rsidR="004D4A0A" w:rsidRDefault="004D4A0A"/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</w:t>
            </w:r>
          </w:p>
        </w:tc>
        <w:tc>
          <w:tcPr>
            <w:tcW w:w="1418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992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210F47">
            <w:pPr>
              <w:jc w:val="center"/>
            </w:pPr>
            <w:r>
              <w:rPr>
                <w:color w:val="000000" w:themeColor="text1"/>
                <w:sz w:val="24"/>
              </w:rPr>
              <w:t>100,0</w:t>
            </w:r>
          </w:p>
        </w:tc>
        <w:tc>
          <w:tcPr>
            <w:tcW w:w="993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4" w:type="dxa"/>
            <w:noWrap/>
          </w:tcPr>
          <w:p w:rsidR="004D4A0A" w:rsidRPr="00A227DF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Pr="00A227DF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Pr="00A227DF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Default="00210F47">
            <w:pPr>
              <w:jc w:val="center"/>
              <w:rPr>
                <w:color w:val="FF0000"/>
              </w:rPr>
            </w:pPr>
            <w:r w:rsidRPr="00A227DF">
              <w:rPr>
                <w:sz w:val="24"/>
              </w:rPr>
              <w:t>100,0</w:t>
            </w:r>
          </w:p>
        </w:tc>
        <w:tc>
          <w:tcPr>
            <w:tcW w:w="2976" w:type="dxa"/>
            <w:noWrap/>
          </w:tcPr>
          <w:p w:rsidR="004D4A0A" w:rsidRDefault="004D4A0A">
            <w:pPr>
              <w:jc w:val="center"/>
            </w:pPr>
          </w:p>
        </w:tc>
      </w:tr>
      <w:tr w:rsidR="004D4A0A">
        <w:trPr>
          <w:trHeight w:val="863"/>
        </w:trPr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418" w:type="dxa"/>
            <w:noWrap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992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3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  <w:tc>
          <w:tcPr>
            <w:tcW w:w="1134" w:type="dxa"/>
            <w:noWrap/>
          </w:tcPr>
          <w:p w:rsidR="004D4A0A" w:rsidRPr="00BB7A53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Pr="00BB7A53" w:rsidRDefault="00BB7A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7A53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4D4A0A" w:rsidRPr="008A00C2" w:rsidRDefault="00691B06" w:rsidP="00691B06">
            <w:pPr>
              <w:jc w:val="both"/>
              <w:rPr>
                <w:sz w:val="22"/>
                <w:szCs w:val="22"/>
              </w:rPr>
            </w:pPr>
            <w:r w:rsidRPr="008A00C2">
              <w:rPr>
                <w:sz w:val="22"/>
                <w:szCs w:val="22"/>
              </w:rPr>
              <w:t>В связи с недостаточным финансирования  мероприятий по капитальному ремонту учреждений</w:t>
            </w:r>
            <w:r w:rsidR="00BB7A53">
              <w:rPr>
                <w:sz w:val="22"/>
                <w:szCs w:val="22"/>
              </w:rPr>
              <w:t xml:space="preserve">, а также статусом приграничного </w:t>
            </w:r>
            <w:r w:rsidR="00BB7A53">
              <w:rPr>
                <w:sz w:val="22"/>
                <w:szCs w:val="22"/>
              </w:rPr>
              <w:lastRenderedPageBreak/>
              <w:t>региона</w:t>
            </w: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6237" w:type="dxa"/>
            <w:noWrap/>
            <w:vAlign w:val="center"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Уровень общероссийской гражданской идентичности</w:t>
            </w:r>
          </w:p>
        </w:tc>
        <w:tc>
          <w:tcPr>
            <w:tcW w:w="1418" w:type="dxa"/>
            <w:noWrap/>
            <w:vAlign w:val="center"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95,7</w:t>
            </w:r>
          </w:p>
        </w:tc>
        <w:tc>
          <w:tcPr>
            <w:tcW w:w="992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95,7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1134" w:type="dxa"/>
            <w:noWrap/>
          </w:tcPr>
          <w:p w:rsidR="004D4A0A" w:rsidRPr="00465FCD" w:rsidRDefault="00210F47" w:rsidP="00210F47">
            <w:pPr>
              <w:pStyle w:val="af3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465FCD">
              <w:rPr>
                <w:rFonts w:ascii="Times New Roman" w:hAnsi="Times New Roman" w:cs="Times New Roman"/>
                <w:bCs/>
                <w:szCs w:val="28"/>
              </w:rPr>
              <w:t>95,9</w:t>
            </w:r>
          </w:p>
        </w:tc>
        <w:tc>
          <w:tcPr>
            <w:tcW w:w="2976" w:type="dxa"/>
            <w:noWrap/>
          </w:tcPr>
          <w:p w:rsidR="004D4A0A" w:rsidRPr="008A00C2" w:rsidRDefault="004D4A0A">
            <w:pPr>
              <w:rPr>
                <w:sz w:val="22"/>
                <w:szCs w:val="22"/>
              </w:rPr>
            </w:pPr>
          </w:p>
        </w:tc>
      </w:tr>
      <w:tr w:rsidR="00691B06" w:rsidTr="008A00C2">
        <w:tc>
          <w:tcPr>
            <w:tcW w:w="851" w:type="dxa"/>
            <w:noWrap/>
          </w:tcPr>
          <w:p w:rsidR="00691B06" w:rsidRDefault="00691B06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6237" w:type="dxa"/>
            <w:noWrap/>
            <w:vAlign w:val="center"/>
          </w:tcPr>
          <w:p w:rsidR="00691B06" w:rsidRDefault="00691B06">
            <w:pPr>
              <w:pStyle w:val="af3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Количество лиц, размещенных в коллективных средствах размещения</w:t>
            </w:r>
          </w:p>
        </w:tc>
        <w:tc>
          <w:tcPr>
            <w:tcW w:w="1418" w:type="dxa"/>
            <w:noWrap/>
            <w:vAlign w:val="center"/>
          </w:tcPr>
          <w:p w:rsidR="00691B06" w:rsidRDefault="00691B06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тыс. чел.</w:t>
            </w:r>
          </w:p>
        </w:tc>
        <w:tc>
          <w:tcPr>
            <w:tcW w:w="992" w:type="dxa"/>
            <w:noWrap/>
            <w:vAlign w:val="center"/>
          </w:tcPr>
          <w:p w:rsidR="00691B06" w:rsidRPr="00D5078A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992" w:type="dxa"/>
            <w:noWrap/>
            <w:vAlign w:val="center"/>
          </w:tcPr>
          <w:p w:rsidR="00691B06" w:rsidRPr="00D5078A" w:rsidRDefault="00691B06" w:rsidP="008A00C2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078A">
              <w:rPr>
                <w:rFonts w:ascii="Times New Roman" w:hAnsi="Times New Roman" w:cs="Times New Roman"/>
                <w:bCs/>
                <w:color w:val="000000"/>
              </w:rPr>
              <w:t>215,0</w:t>
            </w:r>
          </w:p>
        </w:tc>
        <w:tc>
          <w:tcPr>
            <w:tcW w:w="993" w:type="dxa"/>
            <w:noWrap/>
            <w:vAlign w:val="center"/>
          </w:tcPr>
          <w:p w:rsidR="00691B06" w:rsidRPr="00D5078A" w:rsidRDefault="00691B06" w:rsidP="008A00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195,0</w:t>
            </w:r>
          </w:p>
        </w:tc>
        <w:tc>
          <w:tcPr>
            <w:tcW w:w="1134" w:type="dxa"/>
            <w:noWrap/>
            <w:vAlign w:val="center"/>
          </w:tcPr>
          <w:p w:rsidR="00691B06" w:rsidRPr="00D5078A" w:rsidRDefault="00691B06" w:rsidP="008A00C2">
            <w:pPr>
              <w:jc w:val="center"/>
              <w:rPr>
                <w:sz w:val="24"/>
              </w:rPr>
            </w:pPr>
            <w:r w:rsidRPr="00D5078A">
              <w:rPr>
                <w:sz w:val="24"/>
              </w:rPr>
              <w:t>255,57*</w:t>
            </w:r>
          </w:p>
        </w:tc>
        <w:tc>
          <w:tcPr>
            <w:tcW w:w="2976" w:type="dxa"/>
            <w:noWrap/>
          </w:tcPr>
          <w:p w:rsidR="00691B06" w:rsidRPr="008A00C2" w:rsidRDefault="00691B06" w:rsidP="00691B06">
            <w:pPr>
              <w:jc w:val="both"/>
              <w:rPr>
                <w:sz w:val="22"/>
                <w:szCs w:val="22"/>
              </w:rPr>
            </w:pPr>
            <w:r w:rsidRPr="008A00C2">
              <w:rPr>
                <w:sz w:val="22"/>
                <w:szCs w:val="22"/>
              </w:rPr>
              <w:t>Превышение показателя связано с продвижением туристического потенциала Курской области на внутреннем туристическом рынке, что привело к увеличению числа размещенных лиц</w:t>
            </w:r>
          </w:p>
          <w:p w:rsidR="00691B06" w:rsidRPr="008A00C2" w:rsidRDefault="00691B06" w:rsidP="00691B06">
            <w:pPr>
              <w:jc w:val="both"/>
              <w:rPr>
                <w:sz w:val="22"/>
                <w:szCs w:val="22"/>
              </w:rPr>
            </w:pPr>
            <w:r w:rsidRPr="008A00C2">
              <w:rPr>
                <w:sz w:val="22"/>
                <w:szCs w:val="22"/>
              </w:rPr>
              <w:t>(* - по данным Единой межведомственной информационно-статистической системы (ЕМИСС))</w:t>
            </w:r>
          </w:p>
        </w:tc>
      </w:tr>
      <w:tr w:rsidR="004D4A0A">
        <w:trPr>
          <w:trHeight w:val="554"/>
        </w:trPr>
        <w:tc>
          <w:tcPr>
            <w:tcW w:w="15593" w:type="dxa"/>
            <w:gridSpan w:val="8"/>
            <w:noWrap/>
          </w:tcPr>
          <w:p w:rsidR="004D4A0A" w:rsidRDefault="00210F47">
            <w:pPr>
              <w:pStyle w:val="ConsPlusNormal"/>
              <w:spacing w:before="240" w:after="240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sub_19048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1 «Наследие</w:t>
            </w:r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4D4A0A">
        <w:trPr>
          <w:trHeight w:val="964"/>
        </w:trPr>
        <w:tc>
          <w:tcPr>
            <w:tcW w:w="851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Доля отреставрированных недвижимых объектов культурного наследия в общем количестве недвижимых объектов культурного наследия, требующих реставрации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2,2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2,2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2,3</w:t>
            </w:r>
          </w:p>
        </w:tc>
        <w:tc>
          <w:tcPr>
            <w:tcW w:w="1134" w:type="dxa"/>
            <w:noWrap/>
            <w:vAlign w:val="center"/>
          </w:tcPr>
          <w:p w:rsidR="004D4A0A" w:rsidRDefault="00465FCD">
            <w:pPr>
              <w:widowControl w:val="0"/>
              <w:jc w:val="center"/>
              <w:rPr>
                <w:rFonts w:cs="Arial"/>
                <w:color w:val="FF0000"/>
                <w:sz w:val="24"/>
              </w:rPr>
            </w:pPr>
            <w:r>
              <w:rPr>
                <w:rFonts w:cs="Arial"/>
                <w:sz w:val="24"/>
              </w:rPr>
              <w:t>2,3</w:t>
            </w:r>
          </w:p>
        </w:tc>
        <w:tc>
          <w:tcPr>
            <w:tcW w:w="2976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Охват населения библиотечным обслуживанием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43,1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43,2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Default="004D4A0A">
            <w:pPr>
              <w:pStyle w:val="ConsPlusNormal"/>
              <w:ind w:firstLine="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Поступление в фонды государственных и муниципальных библиотек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10500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12608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посещений библиотек (на 1 жителя в год)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5,28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выполнение показателя составило 91%, что обусловлено переводом библиотек приграничных территорий на дистанционный формат работы в связи с введением «желтого уровня» террористической опасности</w:t>
            </w:r>
          </w:p>
        </w:tc>
      </w:tr>
      <w:tr w:rsidR="00210F47" w:rsidTr="006537D2">
        <w:tc>
          <w:tcPr>
            <w:tcW w:w="851" w:type="dxa"/>
            <w:shd w:val="clear" w:color="auto" w:fill="FFFFFF" w:themeFill="background1"/>
            <w:noWrap/>
          </w:tcPr>
          <w:p w:rsidR="00210F47" w:rsidRDefault="00210F47" w:rsidP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210F47" w:rsidRDefault="00210F47" w:rsidP="00210F47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Среднее количество выставок в расчете на 10 тыс. человек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210F47" w:rsidRDefault="00210F47" w:rsidP="00210F47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210F47" w:rsidRDefault="00210F47" w:rsidP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210F47" w:rsidRDefault="00210F47" w:rsidP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210F47" w:rsidRDefault="00210F47" w:rsidP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0F47" w:rsidRPr="006C4665" w:rsidRDefault="002678EB" w:rsidP="002678E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976" w:type="dxa"/>
            <w:shd w:val="clear" w:color="auto" w:fill="auto"/>
            <w:noWrap/>
          </w:tcPr>
          <w:p w:rsidR="00210F47" w:rsidRDefault="002678EB" w:rsidP="006537D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связи с </w:t>
            </w:r>
            <w:r w:rsidR="006537D2">
              <w:rPr>
                <w:rFonts w:ascii="Times New Roman" w:hAnsi="Times New Roman"/>
                <w:sz w:val="22"/>
                <w:szCs w:val="22"/>
              </w:rPr>
              <w:t>увеличением периода работы отдельных выставок</w:t>
            </w:r>
          </w:p>
        </w:tc>
      </w:tr>
      <w:tr w:rsidR="00210F47">
        <w:tc>
          <w:tcPr>
            <w:tcW w:w="851" w:type="dxa"/>
            <w:shd w:val="clear" w:color="auto" w:fill="FFFFFF" w:themeFill="background1"/>
            <w:noWrap/>
          </w:tcPr>
          <w:p w:rsidR="00210F47" w:rsidRDefault="00210F47" w:rsidP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210F47" w:rsidRDefault="00210F47" w:rsidP="00210F47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Посещаемость музейных учреждений на 1 жителя в год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210F47" w:rsidRDefault="00210F47" w:rsidP="00210F47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>посещение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210F47" w:rsidRDefault="00210F47" w:rsidP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210F47" w:rsidRDefault="00210F47" w:rsidP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210F47" w:rsidRDefault="00210F47" w:rsidP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0,439</w:t>
            </w:r>
          </w:p>
        </w:tc>
        <w:tc>
          <w:tcPr>
            <w:tcW w:w="1134" w:type="dxa"/>
            <w:shd w:val="clear" w:color="auto" w:fill="auto"/>
            <w:noWrap/>
          </w:tcPr>
          <w:p w:rsidR="00210F47" w:rsidRPr="008430B8" w:rsidRDefault="00210F47" w:rsidP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0B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2976" w:type="dxa"/>
            <w:shd w:val="clear" w:color="auto" w:fill="auto"/>
            <w:noWrap/>
          </w:tcPr>
          <w:p w:rsidR="00210F47" w:rsidRDefault="00210F47" w:rsidP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Доля модельных библиотек от общего количества муниципальных библиотек Курской области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39,3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Число обращений к цифровым ресурсам в сфере культуры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обра-щений</w:t>
            </w:r>
            <w:proofErr w:type="spellEnd"/>
            <w:proofErr w:type="gramEnd"/>
          </w:p>
        </w:tc>
        <w:tc>
          <w:tcPr>
            <w:tcW w:w="992" w:type="dxa"/>
            <w:noWrap/>
          </w:tcPr>
          <w:p w:rsidR="004D4A0A" w:rsidRDefault="00210F4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375</w:t>
            </w:r>
          </w:p>
        </w:tc>
        <w:tc>
          <w:tcPr>
            <w:tcW w:w="992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3125,5</w:t>
            </w:r>
          </w:p>
        </w:tc>
        <w:tc>
          <w:tcPr>
            <w:tcW w:w="993" w:type="dxa"/>
            <w:noWrap/>
          </w:tcPr>
          <w:p w:rsidR="004D4A0A" w:rsidRDefault="00210F4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425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BB7A53" w:rsidRDefault="00BB7A53" w:rsidP="00BB7A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BB7A53">
              <w:rPr>
                <w:rFonts w:ascii="Times New Roman" w:hAnsi="Times New Roman"/>
                <w:sz w:val="24"/>
                <w:szCs w:val="24"/>
              </w:rPr>
              <w:t>2318,9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Default="004D4A0A">
            <w:pPr>
              <w:pStyle w:val="ConsPlusNormal"/>
              <w:shd w:val="clear" w:color="auto" w:fill="FFFFFF" w:themeFill="background1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D4A0A" w:rsidTr="00280956"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Использование населением Курской области ресурса «Виртуальный музей»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7010B8" w:rsidRDefault="002678EB" w:rsidP="002678E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010B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29,3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Default="002678E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связи с запуском виртуальных музеев в середине текущего года, </w:t>
            </w:r>
          </w:p>
          <w:p w:rsidR="004D4A0A" w:rsidRDefault="00280956" w:rsidP="0028095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сократился период возможного использования р</w:t>
            </w:r>
            <w:r w:rsidR="002678EB">
              <w:rPr>
                <w:rFonts w:ascii="Times New Roman" w:hAnsi="Times New Roman" w:cs="Times New Roman"/>
                <w:sz w:val="22"/>
                <w:szCs w:val="22"/>
              </w:rPr>
              <w:t>есурсо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населением</w:t>
            </w:r>
          </w:p>
        </w:tc>
      </w:tr>
      <w:tr w:rsidR="004D4A0A"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новых книг, поступивших в фонды библиотек муниципальных образований и государственных общедоступных библиотек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  <w:highlight w:val="white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Pr="008A00C2" w:rsidRDefault="00210F47">
            <w:pPr>
              <w:jc w:val="center"/>
              <w:rPr>
                <w:sz w:val="24"/>
              </w:rPr>
            </w:pPr>
            <w:r w:rsidRPr="008A00C2">
              <w:rPr>
                <w:sz w:val="24"/>
              </w:rPr>
              <w:t>7703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995844" w:rsidRDefault="00995844" w:rsidP="0099584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95844">
              <w:rPr>
                <w:rFonts w:ascii="Times New Roman" w:hAnsi="Times New Roman" w:cs="Times New Roman"/>
                <w:sz w:val="24"/>
                <w:szCs w:val="24"/>
              </w:rPr>
              <w:t>10047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построенных музеев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  <w:highlight w:val="white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Pr="008A00C2" w:rsidRDefault="00210F47">
            <w:pPr>
              <w:jc w:val="center"/>
              <w:rPr>
                <w:sz w:val="24"/>
              </w:rPr>
            </w:pPr>
            <w:r w:rsidRPr="008A00C2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8A00C2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0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shd w:val="clear" w:color="auto" w:fill="FFFFFF" w:themeFill="background1"/>
            <w:noWrap/>
          </w:tcPr>
          <w:p w:rsidR="004D4A0A" w:rsidRDefault="004D4A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spacing w:line="276" w:lineRule="auto"/>
              <w:jc w:val="both"/>
              <w:rPr>
                <w:rFonts w:cs="Arial"/>
                <w:b/>
                <w:bCs/>
                <w:sz w:val="24"/>
                <w:lang w:eastAsia="en-US"/>
              </w:rPr>
            </w:pPr>
            <w:r>
              <w:rPr>
                <w:rFonts w:cs="Arial"/>
                <w:b/>
                <w:bCs/>
                <w:sz w:val="24"/>
                <w:lang w:eastAsia="en-US"/>
              </w:rPr>
              <w:t>«Культурная среда»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D4A0A" w:rsidRDefault="004D4A0A">
            <w:pPr>
              <w:shd w:val="clear" w:color="auto" w:fill="FFFFFF"/>
              <w:jc w:val="center"/>
              <w:rPr>
                <w:sz w:val="20"/>
                <w:highlight w:val="white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4D4A0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Pr="008A00C2" w:rsidRDefault="004D4A0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технически оснащенных региональных и муниципальных музеев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jc w:val="center"/>
            </w:pPr>
            <w:r>
              <w:rPr>
                <w:sz w:val="20"/>
                <w:highlight w:val="white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Pr="008A00C2" w:rsidRDefault="00210F47">
            <w:pPr>
              <w:jc w:val="center"/>
              <w:rPr>
                <w:sz w:val="24"/>
              </w:rPr>
            </w:pPr>
            <w:r w:rsidRPr="008A00C2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8A00C2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0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  <w:vAlign w:val="center"/>
          </w:tcPr>
          <w:p w:rsidR="004D4A0A" w:rsidRDefault="00210F47">
            <w:pPr>
              <w:widowControl w:val="0"/>
              <w:spacing w:line="276" w:lineRule="auto"/>
              <w:jc w:val="both"/>
              <w:rPr>
                <w:rFonts w:cs="Arial"/>
                <w:b/>
                <w:bCs/>
                <w:sz w:val="24"/>
                <w:lang w:eastAsia="en-US"/>
              </w:rPr>
            </w:pPr>
            <w:r>
              <w:rPr>
                <w:rFonts w:cs="Arial"/>
                <w:b/>
                <w:bCs/>
                <w:sz w:val="24"/>
                <w:lang w:eastAsia="en-US"/>
              </w:rPr>
              <w:t>«Цифровая культура»</w:t>
            </w:r>
          </w:p>
        </w:tc>
        <w:tc>
          <w:tcPr>
            <w:tcW w:w="1418" w:type="dxa"/>
            <w:noWrap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:rsidR="004D4A0A" w:rsidRDefault="004D4A0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4D4A0A" w:rsidRPr="008A00C2" w:rsidRDefault="004D4A0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noWrap/>
            <w:vAlign w:val="center"/>
          </w:tcPr>
          <w:p w:rsidR="004D4A0A" w:rsidRDefault="00210F47">
            <w:pPr>
              <w:widowControl w:val="0"/>
              <w:spacing w:line="276" w:lineRule="auto"/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  <w:lang w:eastAsia="en-US"/>
              </w:rPr>
              <w:t>Количество созданных виртуальных концертных залов (нарастающим итогом)</w:t>
            </w:r>
          </w:p>
        </w:tc>
        <w:tc>
          <w:tcPr>
            <w:tcW w:w="1418" w:type="dxa"/>
            <w:noWrap/>
            <w:vAlign w:val="center"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992" w:type="dxa"/>
            <w:noWrap/>
          </w:tcPr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Pr="008A00C2" w:rsidRDefault="00210F47">
            <w:pPr>
              <w:jc w:val="center"/>
              <w:rPr>
                <w:sz w:val="24"/>
              </w:rPr>
            </w:pPr>
            <w:r w:rsidRPr="008A00C2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8A00C2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0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0A"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Количество выставочных проектов, снабженных </w:t>
            </w:r>
          </w:p>
          <w:p w:rsidR="004D4A0A" w:rsidRDefault="00210F4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цифровыми гидами в формате дополненной реальности (нарастающим итогом)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Pr="008A00C2" w:rsidRDefault="00210F47">
            <w:pPr>
              <w:jc w:val="center"/>
              <w:rPr>
                <w:sz w:val="24"/>
              </w:rPr>
            </w:pPr>
            <w:r w:rsidRPr="008A00C2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8A00C2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0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4A0A">
        <w:tc>
          <w:tcPr>
            <w:tcW w:w="15593" w:type="dxa"/>
            <w:gridSpan w:val="8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«Искусство»</w:t>
            </w: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посещений театров по отношению к 2010 году (кукольные театры)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</w:tcPr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97,5</w:t>
            </w:r>
          </w:p>
        </w:tc>
        <w:tc>
          <w:tcPr>
            <w:tcW w:w="992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38,4</w:t>
            </w:r>
          </w:p>
        </w:tc>
        <w:tc>
          <w:tcPr>
            <w:tcW w:w="993" w:type="dxa"/>
            <w:noWrap/>
          </w:tcPr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134" w:type="dxa"/>
            <w:noWrap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7C5FCF">
              <w:rPr>
                <w:rFonts w:cs="Arial"/>
                <w:color w:val="000000" w:themeColor="text1"/>
                <w:sz w:val="24"/>
              </w:rPr>
              <w:t>38,4</w:t>
            </w:r>
          </w:p>
        </w:tc>
        <w:tc>
          <w:tcPr>
            <w:tcW w:w="2976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уменьшение количества мероприятий на стационаре и на выезде в связи с введением «желтого уровня» террористической опасности</w:t>
            </w: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посещений театрально-концертных мероприятий по отношению к уровню 2012 года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</w:tcPr>
          <w:p w:rsidR="004D4A0A" w:rsidRDefault="00210F4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128,8</w:t>
            </w:r>
          </w:p>
        </w:tc>
        <w:tc>
          <w:tcPr>
            <w:tcW w:w="992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sz w:val="24"/>
              </w:rPr>
              <w:t>103,4</w:t>
            </w:r>
          </w:p>
        </w:tc>
        <w:tc>
          <w:tcPr>
            <w:tcW w:w="993" w:type="dxa"/>
            <w:noWrap/>
          </w:tcPr>
          <w:p w:rsidR="004D4A0A" w:rsidRDefault="00210F4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128,85</w:t>
            </w:r>
          </w:p>
        </w:tc>
        <w:tc>
          <w:tcPr>
            <w:tcW w:w="1134" w:type="dxa"/>
            <w:noWrap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7C5FCF">
              <w:rPr>
                <w:color w:val="000000" w:themeColor="text1"/>
                <w:sz w:val="24"/>
              </w:rPr>
              <w:t>103,4</w:t>
            </w:r>
          </w:p>
        </w:tc>
        <w:tc>
          <w:tcPr>
            <w:tcW w:w="2976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уменьшение количества мероприятий на стационаре и на выезде в связи с введением «желтого уровня» террористической опасности</w:t>
            </w:r>
          </w:p>
        </w:tc>
      </w:tr>
      <w:tr w:rsidR="004D4A0A"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творческих союзов, членам которых оказана материальная помощь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7C5FCF">
              <w:rPr>
                <w:rFonts w:cs="Arial"/>
                <w:color w:val="000000" w:themeColor="text1"/>
                <w:sz w:val="24"/>
              </w:rPr>
              <w:t>3</w:t>
            </w:r>
          </w:p>
        </w:tc>
        <w:tc>
          <w:tcPr>
            <w:tcW w:w="2976" w:type="dxa"/>
            <w:noWrap/>
          </w:tcPr>
          <w:p w:rsidR="004D4A0A" w:rsidRDefault="004D4A0A"/>
        </w:tc>
      </w:tr>
      <w:tr w:rsidR="004D4A0A"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творческих союзов, получающих средства на поддержку для проведения мероприятий творческой направленности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7C5FCF">
              <w:rPr>
                <w:rFonts w:cs="Arial"/>
                <w:color w:val="000000" w:themeColor="text1"/>
                <w:sz w:val="24"/>
              </w:rPr>
              <w:t>3</w:t>
            </w:r>
          </w:p>
        </w:tc>
        <w:tc>
          <w:tcPr>
            <w:tcW w:w="2976" w:type="dxa"/>
            <w:noWrap/>
          </w:tcPr>
          <w:p w:rsidR="004D4A0A" w:rsidRDefault="004D4A0A"/>
        </w:tc>
      </w:tr>
      <w:tr w:rsidR="004D4A0A"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сумма одного гранта Губернатора Курской области для поддержки сельской культуры, в том числе образовательных учреждений (детских школ искусств)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425,0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425,0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425,0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7C5FCF">
              <w:rPr>
                <w:rFonts w:cs="Arial"/>
                <w:color w:val="000000" w:themeColor="text1"/>
                <w:sz w:val="24"/>
              </w:rPr>
              <w:t>425,0</w:t>
            </w:r>
          </w:p>
        </w:tc>
        <w:tc>
          <w:tcPr>
            <w:tcW w:w="2976" w:type="dxa"/>
            <w:noWrap/>
          </w:tcPr>
          <w:p w:rsidR="004D4A0A" w:rsidRDefault="004D4A0A"/>
        </w:tc>
      </w:tr>
      <w:tr w:rsidR="004D4A0A" w:rsidTr="007C5FCF">
        <w:trPr>
          <w:trHeight w:val="704"/>
        </w:trPr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число участников клубных формирований в расчёте на 1 тыс. человек населения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47,5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Pr="008A00C2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8A00C2">
              <w:rPr>
                <w:rFonts w:cs="Arial"/>
                <w:sz w:val="24"/>
              </w:rPr>
              <w:t>47,5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C5FCF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2976" w:type="dxa"/>
            <w:noWrap/>
          </w:tcPr>
          <w:p w:rsidR="004D4A0A" w:rsidRPr="008A00C2" w:rsidRDefault="004D4A0A"/>
        </w:tc>
      </w:tr>
      <w:tr w:rsidR="004D4A0A" w:rsidTr="007C5FCF">
        <w:trPr>
          <w:trHeight w:val="702"/>
        </w:trPr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число посещений киносеансов в расчете на 1 человека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0,42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Pr="008A00C2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8A00C2">
              <w:rPr>
                <w:rFonts w:cs="Arial"/>
                <w:sz w:val="24"/>
              </w:rPr>
              <w:t>0,43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C5FCF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D4A0A" w:rsidTr="007C5FCF">
        <w:trPr>
          <w:trHeight w:val="702"/>
        </w:trPr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noWrap/>
            <w:vAlign w:val="center"/>
          </w:tcPr>
          <w:p w:rsidR="004D4A0A" w:rsidRDefault="00210F47">
            <w:pPr>
              <w:widowControl w:val="0"/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Доля средств бюджета Курской области, выделяемых социально ориентированным некоммерческим организациям (СОНКО) на предоставление услуг, в общем объёме средств, предусмотренных на реализацию мероприятий государственной программы Курской области «Развитие культуры в Курской области»</w:t>
            </w:r>
          </w:p>
        </w:tc>
        <w:tc>
          <w:tcPr>
            <w:tcW w:w="1418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0,1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  <w:noWrap/>
            <w:vAlign w:val="center"/>
          </w:tcPr>
          <w:p w:rsidR="004D4A0A" w:rsidRPr="008A00C2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8A00C2">
              <w:rPr>
                <w:rFonts w:cs="Arial"/>
                <w:sz w:val="24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C5FC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2976" w:type="dxa"/>
            <w:noWrap/>
          </w:tcPr>
          <w:p w:rsidR="004D4A0A" w:rsidRPr="008A00C2" w:rsidRDefault="00A27C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 недостаточным финансированием на данные мероприятия</w:t>
            </w:r>
          </w:p>
        </w:tc>
      </w:tr>
      <w:tr w:rsidR="004D4A0A" w:rsidTr="007C5FCF">
        <w:trPr>
          <w:trHeight w:val="702"/>
        </w:trPr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noWrap/>
            <w:vAlign w:val="center"/>
          </w:tcPr>
          <w:p w:rsidR="004D4A0A" w:rsidRDefault="00210F47">
            <w:pPr>
              <w:widowControl w:val="0"/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Количество региональных и муниципальных театров, в которых созданы новые постановки и (или) обеспечено развитие и укрепление материально-технической базы</w:t>
            </w:r>
          </w:p>
        </w:tc>
        <w:tc>
          <w:tcPr>
            <w:tcW w:w="1418" w:type="dxa"/>
            <w:noWrap/>
            <w:vAlign w:val="center"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4D4A0A" w:rsidRPr="008A00C2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8A00C2">
              <w:rPr>
                <w:rFonts w:cs="Arial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C5F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A0A" w:rsidTr="007C5FCF">
        <w:trPr>
          <w:trHeight w:val="448"/>
        </w:trPr>
        <w:tc>
          <w:tcPr>
            <w:tcW w:w="851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  <w:vAlign w:val="center"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«Культурная среда»</w:t>
            </w:r>
          </w:p>
        </w:tc>
        <w:tc>
          <w:tcPr>
            <w:tcW w:w="1418" w:type="dxa"/>
            <w:noWrap/>
            <w:vAlign w:val="center"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vAlign w:val="center"/>
          </w:tcPr>
          <w:p w:rsidR="004D4A0A" w:rsidRDefault="004D4A0A">
            <w:pPr>
              <w:widowControl w:val="0"/>
              <w:jc w:val="center"/>
              <w:rPr>
                <w:rFonts w:cs="Arial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noWrap/>
            <w:vAlign w:val="center"/>
          </w:tcPr>
          <w:p w:rsidR="004D4A0A" w:rsidRPr="008A00C2" w:rsidRDefault="004D4A0A">
            <w:pPr>
              <w:widowControl w:val="0"/>
              <w:jc w:val="center"/>
              <w:rPr>
                <w:rFonts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A0A" w:rsidTr="007C5FCF">
        <w:trPr>
          <w:trHeight w:val="702"/>
        </w:trPr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noWrap/>
            <w:vAlign w:val="center"/>
          </w:tcPr>
          <w:p w:rsidR="004D4A0A" w:rsidRDefault="00210F47">
            <w:pPr>
              <w:widowControl w:val="0"/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Количество построенных (реконструированных) культурно-досуговых</w:t>
            </w:r>
            <w:r>
              <w:rPr>
                <w:rFonts w:eastAsia="Calibri"/>
                <w:sz w:val="24"/>
                <w:lang w:eastAsia="en-US"/>
              </w:rPr>
              <w:t xml:space="preserve"> учреждений в сельской местности</w:t>
            </w:r>
          </w:p>
        </w:tc>
        <w:tc>
          <w:tcPr>
            <w:tcW w:w="1418" w:type="dxa"/>
            <w:noWrap/>
            <w:vAlign w:val="center"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4D4A0A" w:rsidRPr="008A00C2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8A00C2">
              <w:rPr>
                <w:rFonts w:cs="Arial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C5F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«Творческие люди»</w:t>
            </w:r>
          </w:p>
        </w:tc>
        <w:tc>
          <w:tcPr>
            <w:tcW w:w="1418" w:type="dxa"/>
            <w:noWrap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noWrap/>
          </w:tcPr>
          <w:p w:rsidR="004D4A0A" w:rsidRPr="008A00C2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4D4A0A" w:rsidRPr="007C5FCF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тыс.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чело-век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sz w:val="24"/>
              </w:rPr>
              <w:t>1,205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sz w:val="24"/>
              </w:rPr>
              <w:t>1,205</w:t>
            </w:r>
          </w:p>
        </w:tc>
        <w:tc>
          <w:tcPr>
            <w:tcW w:w="993" w:type="dxa"/>
            <w:noWrap/>
            <w:vAlign w:val="center"/>
          </w:tcPr>
          <w:p w:rsidR="004D4A0A" w:rsidRPr="008A00C2" w:rsidRDefault="00210F47">
            <w:pPr>
              <w:widowControl w:val="0"/>
              <w:jc w:val="center"/>
              <w:rPr>
                <w:rFonts w:cs="Arial"/>
              </w:rPr>
            </w:pPr>
            <w:r w:rsidRPr="008A00C2">
              <w:rPr>
                <w:rFonts w:cs="Arial"/>
                <w:sz w:val="24"/>
              </w:rPr>
              <w:t>1,604</w:t>
            </w:r>
          </w:p>
        </w:tc>
        <w:tc>
          <w:tcPr>
            <w:tcW w:w="1134" w:type="dxa"/>
            <w:noWrap/>
            <w:vAlign w:val="center"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</w:rPr>
            </w:pPr>
            <w:r w:rsidRPr="007C5FCF">
              <w:rPr>
                <w:rFonts w:cs="Arial"/>
                <w:sz w:val="24"/>
              </w:rPr>
              <w:t>1,604</w:t>
            </w:r>
          </w:p>
        </w:tc>
        <w:tc>
          <w:tcPr>
            <w:tcW w:w="2976" w:type="dxa"/>
            <w:noWrap/>
          </w:tcPr>
          <w:p w:rsidR="004D4A0A" w:rsidRPr="008A00C2" w:rsidRDefault="00FC0282">
            <w:r w:rsidRPr="008A00C2">
              <w:rPr>
                <w:sz w:val="24"/>
              </w:rPr>
              <w:t>Прошли обучение 399 чел. (100%)  в соответствии с выделенной квотой</w:t>
            </w: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культурно-образовательных программ для школьников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sz w:val="24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  <w:sz w:val="24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4D4A0A" w:rsidRPr="007C5FCF" w:rsidRDefault="00FC0282">
            <w:pPr>
              <w:widowControl w:val="0"/>
              <w:jc w:val="center"/>
              <w:rPr>
                <w:rFonts w:cs="Arial"/>
                <w:sz w:val="24"/>
              </w:rPr>
            </w:pPr>
            <w:r w:rsidRPr="007C5FCF">
              <w:rPr>
                <w:rFonts w:cs="Arial"/>
                <w:sz w:val="24"/>
              </w:rPr>
              <w:t>15</w:t>
            </w:r>
          </w:p>
        </w:tc>
        <w:tc>
          <w:tcPr>
            <w:tcW w:w="2976" w:type="dxa"/>
            <w:noWrap/>
          </w:tcPr>
          <w:p w:rsidR="004D4A0A" w:rsidRDefault="00FC0282">
            <w:pPr>
              <w:jc w:val="both"/>
              <w:rPr>
                <w:sz w:val="22"/>
                <w:szCs w:val="22"/>
              </w:rPr>
            </w:pPr>
            <w:r w:rsidRPr="004E4E2D">
              <w:rPr>
                <w:sz w:val="22"/>
                <w:szCs w:val="22"/>
              </w:rPr>
              <w:t xml:space="preserve">Выполнение показателя составляет 60%, т.к. в 2020 г. из-за пандемии </w:t>
            </w:r>
            <w:r>
              <w:rPr>
                <w:sz w:val="22"/>
                <w:szCs w:val="22"/>
              </w:rPr>
              <w:t>К</w:t>
            </w:r>
            <w:r w:rsidRPr="004E4E2D">
              <w:rPr>
                <w:sz w:val="22"/>
                <w:szCs w:val="22"/>
              </w:rPr>
              <w:t xml:space="preserve">урская область отказалась от выделенной квоты, в 2022 г. вместо запланированных 5 программ Минкультуры </w:t>
            </w:r>
            <w:r w:rsidRPr="004E4E2D">
              <w:rPr>
                <w:sz w:val="22"/>
                <w:szCs w:val="22"/>
              </w:rPr>
              <w:lastRenderedPageBreak/>
              <w:t>пре</w:t>
            </w:r>
            <w:r>
              <w:rPr>
                <w:sz w:val="22"/>
                <w:szCs w:val="22"/>
              </w:rPr>
              <w:t>доставил квоты на 2 программы, в 2023 г. квоты были предоставлены только на 3 программы «Петербург Пушкина»</w:t>
            </w:r>
          </w:p>
        </w:tc>
      </w:tr>
      <w:tr w:rsidR="004D4A0A" w:rsidTr="007C5FCF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проведённых масштабных фестивальных проектов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992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993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7C5FCF">
              <w:rPr>
                <w:rFonts w:cs="Arial"/>
                <w:sz w:val="24"/>
              </w:rPr>
              <w:t>8</w:t>
            </w:r>
          </w:p>
        </w:tc>
        <w:tc>
          <w:tcPr>
            <w:tcW w:w="2976" w:type="dxa"/>
            <w:noWrap/>
          </w:tcPr>
          <w:p w:rsidR="004D4A0A" w:rsidRDefault="004D4A0A">
            <w:pPr>
              <w:rPr>
                <w:highlight w:val="green"/>
              </w:rPr>
            </w:pPr>
          </w:p>
        </w:tc>
      </w:tr>
      <w:tr w:rsidR="004D4A0A" w:rsidTr="007C5FCF"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любительских творческих коллективов, получивших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поддержку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992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993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7C5FCF">
              <w:rPr>
                <w:rFonts w:cs="Arial"/>
                <w:sz w:val="24"/>
              </w:rPr>
              <w:t>8</w:t>
            </w:r>
          </w:p>
        </w:tc>
        <w:tc>
          <w:tcPr>
            <w:tcW w:w="2976" w:type="dxa"/>
            <w:noWrap/>
          </w:tcPr>
          <w:p w:rsidR="004D4A0A" w:rsidRDefault="004D4A0A">
            <w:pPr>
              <w:rPr>
                <w:highlight w:val="green"/>
              </w:rPr>
            </w:pPr>
          </w:p>
        </w:tc>
      </w:tr>
      <w:tr w:rsidR="004D4A0A" w:rsidTr="007C5FCF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нап-равленные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на популяризацию русского языка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лите-ратуры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, народных художест</w:t>
            </w:r>
            <w:r>
              <w:rPr>
                <w:rFonts w:ascii="Times New Roman" w:hAnsi="Times New Roman" w:cs="Times New Roman"/>
                <w:bCs/>
              </w:rPr>
              <w:t xml:space="preserve">венных промыслов и ремесел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noWrap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7C5FCF">
              <w:rPr>
                <w:rFonts w:cs="Arial"/>
                <w:sz w:val="24"/>
              </w:rPr>
              <w:t>24</w:t>
            </w:r>
          </w:p>
        </w:tc>
        <w:tc>
          <w:tcPr>
            <w:tcW w:w="2976" w:type="dxa"/>
            <w:noWrap/>
          </w:tcPr>
          <w:p w:rsidR="004D4A0A" w:rsidRDefault="004D4A0A"/>
        </w:tc>
      </w:tr>
      <w:tr w:rsidR="004D4A0A" w:rsidTr="007C5FCF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A0A" w:rsidRDefault="00210F47">
            <w:pPr>
              <w:shd w:val="clear" w:color="auto" w:fill="FFFFFF"/>
              <w:jc w:val="both"/>
              <w:rPr>
                <w:sz w:val="24"/>
              </w:rPr>
            </w:pPr>
            <w:bookmarkStart w:id="1" w:name="_Hlk79482400"/>
            <w:r>
              <w:rPr>
                <w:rFonts w:hint="eastAsia"/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граждан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принимающих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добровольческой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деятельности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получивших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государственную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поддержку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форме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субсидий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бюджетным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учреждениям</w:t>
            </w:r>
            <w:bookmarkEnd w:id="1"/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455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</w:rPr>
              <w:t>455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37D2" w:rsidRPr="007C5FCF" w:rsidRDefault="006537D2" w:rsidP="006537D2">
            <w:pPr>
              <w:widowControl w:val="0"/>
              <w:jc w:val="center"/>
              <w:rPr>
                <w:rFonts w:cs="Arial"/>
                <w:sz w:val="24"/>
              </w:rPr>
            </w:pPr>
            <w:r w:rsidRPr="007C5FCF">
              <w:rPr>
                <w:rFonts w:cs="Arial"/>
                <w:sz w:val="24"/>
              </w:rPr>
              <w:t>606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Pr="006537D2" w:rsidRDefault="004D4A0A"/>
        </w:tc>
      </w:tr>
      <w:tr w:rsidR="004D4A0A" w:rsidTr="007C5FCF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A0A" w:rsidRDefault="00210F47">
            <w:pPr>
              <w:shd w:val="clear" w:color="auto" w:fill="FFFFFF"/>
              <w:rPr>
                <w:sz w:val="24"/>
              </w:rPr>
            </w:pPr>
            <w:bookmarkStart w:id="2" w:name="_Hlk79482501"/>
            <w:r>
              <w:rPr>
                <w:rFonts w:hint="eastAsia"/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поддержанных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творческих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инициатив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проектов</w:t>
            </w:r>
            <w:bookmarkEnd w:id="2"/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единиц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58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58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7C5FCF">
              <w:rPr>
                <w:rFonts w:cs="Arial"/>
                <w:sz w:val="24"/>
              </w:rPr>
              <w:t>84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4D4A0A" w:rsidRDefault="004D4A0A"/>
        </w:tc>
      </w:tr>
      <w:tr w:rsidR="004D4A0A" w:rsidTr="007C5FCF">
        <w:trPr>
          <w:trHeight w:val="66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лучших сельских учреждений культуры, которым оказана государственная поддержка (нарастающим итогом)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7C5FCF">
              <w:rPr>
                <w:rFonts w:cs="Arial"/>
                <w:sz w:val="24"/>
              </w:rPr>
              <w:t>52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4D4A0A" w:rsidRDefault="004D4A0A"/>
        </w:tc>
      </w:tr>
      <w:tr w:rsidR="004D4A0A" w:rsidTr="007C5FCF">
        <w:trPr>
          <w:trHeight w:val="662"/>
        </w:trPr>
        <w:tc>
          <w:tcPr>
            <w:tcW w:w="851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лучших работников сельских учреждений культуры, которым оказана государственная поддержка (нарастающим итогом)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 w:rsidRPr="007C5FCF">
              <w:rPr>
                <w:rFonts w:cs="Arial"/>
                <w:sz w:val="24"/>
              </w:rPr>
              <w:t>32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4D4A0A" w:rsidRDefault="004D4A0A"/>
        </w:tc>
      </w:tr>
      <w:tr w:rsidR="004D4A0A">
        <w:tc>
          <w:tcPr>
            <w:tcW w:w="15593" w:type="dxa"/>
            <w:gridSpan w:val="8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904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«Обеспечение условий реализации государственной программы</w:t>
            </w:r>
            <w:bookmarkEnd w:id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D4A0A" w:rsidTr="00D5078A">
        <w:tc>
          <w:tcPr>
            <w:tcW w:w="851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Доля публичных библиотек, подключенных к сети «Интернет», в общем количестве библиотек области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97</w:t>
            </w:r>
          </w:p>
        </w:tc>
        <w:tc>
          <w:tcPr>
            <w:tcW w:w="992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97,7</w:t>
            </w:r>
          </w:p>
        </w:tc>
        <w:tc>
          <w:tcPr>
            <w:tcW w:w="993" w:type="dxa"/>
            <w:noWrap/>
          </w:tcPr>
          <w:p w:rsidR="004D4A0A" w:rsidRDefault="00210F47">
            <w:pPr>
              <w:widowControl w:val="0"/>
              <w:jc w:val="center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99</w:t>
            </w:r>
          </w:p>
        </w:tc>
        <w:tc>
          <w:tcPr>
            <w:tcW w:w="1134" w:type="dxa"/>
            <w:noWrap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color w:val="FF0000"/>
              </w:rPr>
            </w:pPr>
            <w:r w:rsidRPr="007C5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97,7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Default="006537D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(-1,3</w:t>
            </w:r>
            <w:r w:rsidR="009C012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C0123">
              <w:rPr>
                <w:rFonts w:ascii="Times New Roman" w:hAnsi="Times New Roman"/>
                <w:color w:val="000000"/>
              </w:rPr>
              <w:t>п.п</w:t>
            </w:r>
            <w:proofErr w:type="spellEnd"/>
            <w:r w:rsidR="009C0123">
              <w:rPr>
                <w:rFonts w:ascii="Times New Roman" w:hAnsi="Times New Roman"/>
                <w:color w:val="000000"/>
              </w:rPr>
              <w:t>. в связи с введением «желтого уровня» террористической опасности в ряде приграничных районов доступ к системе мобильной связи был ограничен)</w:t>
            </w:r>
          </w:p>
        </w:tc>
      </w:tr>
      <w:tr w:rsidR="004D4A0A" w:rsidTr="00280956">
        <w:tc>
          <w:tcPr>
            <w:tcW w:w="851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музеев, имеющих сайт в сети «Интернет», в общем количестве музеев области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</w:tcPr>
          <w:p w:rsidR="004D4A0A" w:rsidRPr="009C0123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доли детей, привлекаемых к участию в творческих мероприятиях, от общего числа детей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9,4</w:t>
            </w:r>
          </w:p>
        </w:tc>
        <w:tc>
          <w:tcPr>
            <w:tcW w:w="993" w:type="dxa"/>
            <w:noWrap/>
            <w:vAlign w:val="center"/>
          </w:tcPr>
          <w:p w:rsidR="004D4A0A" w:rsidRPr="008A00C2" w:rsidRDefault="00210F47">
            <w:pPr>
              <w:widowControl w:val="0"/>
              <w:jc w:val="center"/>
              <w:rPr>
                <w:sz w:val="24"/>
              </w:rPr>
            </w:pPr>
            <w:r w:rsidRPr="008A00C2">
              <w:rPr>
                <w:sz w:val="24"/>
              </w:rPr>
              <w:t>8,7</w:t>
            </w:r>
          </w:p>
        </w:tc>
        <w:tc>
          <w:tcPr>
            <w:tcW w:w="1134" w:type="dxa"/>
            <w:noWrap/>
            <w:vAlign w:val="center"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C5FCF">
              <w:rPr>
                <w:rFonts w:ascii="Times New Roman" w:hAnsi="Times New Roman" w:cs="Times New Roman"/>
                <w:sz w:val="24"/>
              </w:rPr>
              <w:t>9,4</w:t>
            </w: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bookmarkStart w:id="4" w:name="sub_19066"/>
            <w:r>
              <w:rPr>
                <w:rFonts w:ascii="Times New Roman" w:hAnsi="Times New Roman" w:cs="Times New Roman"/>
              </w:rPr>
              <w:t>4.</w:t>
            </w:r>
            <w:bookmarkEnd w:id="4"/>
          </w:p>
        </w:tc>
        <w:tc>
          <w:tcPr>
            <w:tcW w:w="6237" w:type="dxa"/>
            <w:noWrap/>
          </w:tcPr>
          <w:p w:rsidR="004D4A0A" w:rsidRDefault="00210F47">
            <w:pPr>
              <w:pStyle w:val="af3"/>
            </w:pPr>
            <w:r>
              <w:rPr>
                <w:rFonts w:ascii="Times New Roman" w:hAnsi="Times New Roman" w:cs="Times New Roman"/>
              </w:rPr>
              <w:t>Доля образовательных учреждений сферы культуры, оснащённых современным материально-техническим оборудованием (с учётом детских школ искусств), в общем количестве образовательных учреждений в сфере культуры</w:t>
            </w:r>
          </w:p>
        </w:tc>
        <w:tc>
          <w:tcPr>
            <w:tcW w:w="1418" w:type="dxa"/>
            <w:noWrap/>
          </w:tcPr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D4A0A" w:rsidRDefault="004D4A0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D4A0A" w:rsidRDefault="00210F4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shd w:val="clear" w:color="auto" w:fill="FFFFFF" w:themeFill="background1"/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sz w:val="24"/>
                <w:highlight w:val="white"/>
              </w:rPr>
              <w:t>20,3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shd w:val="clear" w:color="auto" w:fill="FFFFFF" w:themeFill="background1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70,5</w:t>
            </w:r>
          </w:p>
        </w:tc>
        <w:tc>
          <w:tcPr>
            <w:tcW w:w="993" w:type="dxa"/>
            <w:noWrap/>
            <w:vAlign w:val="center"/>
          </w:tcPr>
          <w:p w:rsidR="004D4A0A" w:rsidRPr="008A00C2" w:rsidRDefault="00210F47">
            <w:pPr>
              <w:widowControl w:val="0"/>
              <w:shd w:val="clear" w:color="auto" w:fill="FFFFFF" w:themeFill="background1"/>
              <w:jc w:val="center"/>
              <w:rPr>
                <w:rFonts w:cs="Arial"/>
                <w:highlight w:val="white"/>
              </w:rPr>
            </w:pPr>
            <w:r w:rsidRPr="008A00C2">
              <w:rPr>
                <w:rFonts w:cs="Arial"/>
                <w:sz w:val="24"/>
                <w:highlight w:val="white"/>
              </w:rPr>
              <w:t>20,35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4D4A0A" w:rsidRPr="007C5FCF" w:rsidRDefault="00FC0282">
            <w:pPr>
              <w:pStyle w:val="ConsPlusNormal"/>
              <w:shd w:val="clear" w:color="auto" w:fill="FFFFFF" w:themeFill="background1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Суммарный удельный расход энергетических ресурсов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ту</w:t>
            </w:r>
            <w:proofErr w:type="gramStart"/>
            <w:r>
              <w:rPr>
                <w:bCs/>
                <w:sz w:val="24"/>
              </w:rPr>
              <w:t>.т</w:t>
            </w:r>
            <w:proofErr w:type="spellEnd"/>
            <w:proofErr w:type="gramEnd"/>
            <w:r>
              <w:rPr>
                <w:bCs/>
                <w:sz w:val="24"/>
              </w:rPr>
              <w:t>./</w:t>
            </w:r>
            <w:proofErr w:type="spellStart"/>
            <w:r>
              <w:rPr>
                <w:bCs/>
                <w:sz w:val="24"/>
              </w:rPr>
              <w:t>кВ.м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0,0342</w:t>
            </w:r>
          </w:p>
        </w:tc>
        <w:tc>
          <w:tcPr>
            <w:tcW w:w="992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0,0342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0,0342</w:t>
            </w:r>
          </w:p>
        </w:tc>
        <w:tc>
          <w:tcPr>
            <w:tcW w:w="1134" w:type="dxa"/>
            <w:noWrap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0,0342</w:t>
            </w:r>
          </w:p>
        </w:tc>
        <w:tc>
          <w:tcPr>
            <w:tcW w:w="2976" w:type="dxa"/>
            <w:noWrap/>
          </w:tcPr>
          <w:p w:rsidR="004D4A0A" w:rsidRPr="009C0123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 w:rsidTr="007C5FCF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Доля учреждений, сдавших энергетические декларации посредством модуля ГИС «</w:t>
            </w:r>
            <w:proofErr w:type="spellStart"/>
            <w:r>
              <w:rPr>
                <w:bCs/>
                <w:sz w:val="24"/>
              </w:rPr>
              <w:t>Энергоэффективность</w:t>
            </w:r>
            <w:proofErr w:type="spellEnd"/>
            <w:r>
              <w:rPr>
                <w:bCs/>
                <w:sz w:val="24"/>
              </w:rPr>
              <w:t>» - «Информация по энергосбережению и повышению энергетической эффективности»</w:t>
            </w:r>
          </w:p>
        </w:tc>
        <w:tc>
          <w:tcPr>
            <w:tcW w:w="1418" w:type="dxa"/>
            <w:noWrap/>
          </w:tcPr>
          <w:p w:rsidR="004D4A0A" w:rsidRDefault="004D4A0A">
            <w:pPr>
              <w:jc w:val="center"/>
              <w:rPr>
                <w:bCs/>
                <w:sz w:val="24"/>
              </w:rPr>
            </w:pPr>
          </w:p>
          <w:p w:rsidR="004D4A0A" w:rsidRDefault="004D4A0A">
            <w:pPr>
              <w:jc w:val="center"/>
              <w:rPr>
                <w:bCs/>
                <w:sz w:val="24"/>
              </w:rPr>
            </w:pPr>
          </w:p>
          <w:p w:rsidR="004D4A0A" w:rsidRDefault="00210F4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Pr="007C5FCF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4D4A0A" w:rsidRPr="009C0123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Pr="009C0123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A0A" w:rsidRPr="009C0123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 w:rsidTr="007C5FCF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Средняя численность участников клубных формирований в расчете на 1 тыс. человек (в муниципальных домах культуры)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человек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bCs/>
                <w:color w:val="000000"/>
                <w:sz w:val="24"/>
              </w:rPr>
            </w:pPr>
            <w:r>
              <w:rPr>
                <w:rFonts w:cs="Arial"/>
                <w:bCs/>
                <w:color w:val="000000" w:themeColor="text1"/>
                <w:sz w:val="24"/>
              </w:rPr>
              <w:t>57</w:t>
            </w:r>
          </w:p>
        </w:tc>
        <w:tc>
          <w:tcPr>
            <w:tcW w:w="992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57,7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bCs/>
                <w:color w:val="000000"/>
                <w:sz w:val="24"/>
              </w:rPr>
            </w:pPr>
            <w:r>
              <w:rPr>
                <w:rFonts w:cs="Arial"/>
                <w:bCs/>
                <w:color w:val="000000" w:themeColor="text1"/>
                <w:sz w:val="24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54,6</w:t>
            </w:r>
          </w:p>
        </w:tc>
        <w:tc>
          <w:tcPr>
            <w:tcW w:w="2976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(-3,4 отрицательная динамика обусловлена сокращением сети)</w:t>
            </w:r>
          </w:p>
        </w:tc>
      </w:tr>
      <w:tr w:rsidR="004D4A0A" w:rsidTr="007C5FCF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jc w:val="both"/>
              <w:rPr>
                <w:sz w:val="24"/>
                <w:highlight w:val="yellow"/>
              </w:rPr>
            </w:pPr>
            <w:bookmarkStart w:id="5" w:name="_Hlk79411090"/>
            <w:r>
              <w:rPr>
                <w:sz w:val="24"/>
              </w:rPr>
              <w:t>Число посещений мероприятий организаций культуры</w:t>
            </w:r>
            <w:bookmarkEnd w:id="5"/>
          </w:p>
        </w:tc>
        <w:tc>
          <w:tcPr>
            <w:tcW w:w="1418" w:type="dxa"/>
            <w:noWrap/>
          </w:tcPr>
          <w:p w:rsidR="004D4A0A" w:rsidRDefault="00210F47">
            <w:pPr>
              <w:jc w:val="center"/>
              <w:rPr>
                <w:bCs/>
                <w:sz w:val="24"/>
                <w:highlight w:val="yellow"/>
              </w:rPr>
            </w:pPr>
            <w:r>
              <w:rPr>
                <w:rFonts w:eastAsia="Calibri"/>
                <w:sz w:val="24"/>
              </w:rPr>
              <w:t>млн. единиц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976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4D4A0A" w:rsidTr="007C5FCF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Число посещений культурных мероприятий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тыс. единиц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14625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left="-143" w:right="-73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19537,018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9C0123">
            <w:pPr>
              <w:pStyle w:val="ConsPlusNormal"/>
              <w:ind w:left="-143" w:right="-73"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5F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4D4A0A" w:rsidTr="007C5FCF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210F47" w:rsidRDefault="00210F47" w:rsidP="00210F47">
            <w:pPr>
              <w:shd w:val="clear" w:color="auto" w:fill="FFFFFF"/>
              <w:rPr>
                <w:sz w:val="24"/>
              </w:rPr>
            </w:pPr>
            <w:r w:rsidRPr="00210F47">
              <w:rPr>
                <w:sz w:val="24"/>
              </w:rPr>
              <w:t xml:space="preserve">Использование населением Единого портала «Культура Курской области»  </w:t>
            </w:r>
          </w:p>
          <w:p w:rsidR="004D4A0A" w:rsidRPr="00210F47" w:rsidRDefault="00210F47" w:rsidP="00210F4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(Культурно-туристический портал «Соловьиный край»)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6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4A0A" w:rsidTr="009C0123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Использование населением Курской области мобильного приложения «Туризм Курской области»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Pr="009C0123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 w:rsidTr="007C5FCF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Число посещений мероприятий организаций культуры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миллион единиц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15,93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Pr="009C0123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 w:rsidTr="007C5FCF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ind w:right="-89"/>
              <w:rPr>
                <w:sz w:val="24"/>
              </w:rPr>
            </w:pPr>
            <w:r>
              <w:rPr>
                <w:sz w:val="24"/>
              </w:rPr>
              <w:t>Уровень обеспеченности организациями культуры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84,5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6537D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Pr="006537D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 w:rsidTr="006537D2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4D4A0A" w:rsidRDefault="00210F47">
            <w:pPr>
              <w:shd w:val="clear" w:color="auto" w:fill="FFFFFF"/>
              <w:ind w:right="-89"/>
              <w:rPr>
                <w:sz w:val="24"/>
              </w:rPr>
            </w:pPr>
            <w:r>
              <w:rPr>
                <w:sz w:val="24"/>
              </w:rPr>
              <w:t>Количество учреждений культурно-досугового типа, в которых созданы новые постановки и (или) обеспечено развитие и укрепление материально-технической базы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4D4A0A" w:rsidRPr="008A00C2" w:rsidRDefault="00210F47">
            <w:pPr>
              <w:shd w:val="clear" w:color="auto" w:fill="FFFFFF"/>
              <w:jc w:val="center"/>
              <w:rPr>
                <w:sz w:val="24"/>
                <w:highlight w:val="white"/>
              </w:rPr>
            </w:pPr>
            <w:r w:rsidRPr="008A00C2">
              <w:rPr>
                <w:sz w:val="24"/>
                <w:highlight w:val="white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Pr="008A00C2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0C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4D4A0A" w:rsidRPr="008A00C2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0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4D4A0A" w:rsidRPr="008A00C2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A00C2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Pr="006537D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 w:rsidTr="007C5FCF">
        <w:tc>
          <w:tcPr>
            <w:tcW w:w="851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</w:tcPr>
          <w:p w:rsidR="004D4A0A" w:rsidRDefault="00210F47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«Культурная среда»</w:t>
            </w:r>
          </w:p>
        </w:tc>
        <w:tc>
          <w:tcPr>
            <w:tcW w:w="1418" w:type="dxa"/>
            <w:noWrap/>
          </w:tcPr>
          <w:p w:rsidR="004D4A0A" w:rsidRPr="008A00C2" w:rsidRDefault="004D4A0A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D4A0A" w:rsidRPr="007C5FCF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4D4A0A" w:rsidRPr="008A00C2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 w:rsidTr="007C5FCF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37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6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4A0A" w:rsidTr="00D5078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418" w:type="dxa"/>
            <w:noWrap/>
          </w:tcPr>
          <w:p w:rsidR="004D4A0A" w:rsidRDefault="00210F47">
            <w:pPr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D4A0A" w:rsidRPr="007C5FCF" w:rsidRDefault="00210F47" w:rsidP="00D5078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5078A" w:rsidRPr="007C5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</w:tcPr>
          <w:p w:rsidR="004D4A0A" w:rsidRPr="00D5078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noWrap/>
          </w:tcPr>
          <w:p w:rsidR="004D4A0A" w:rsidRDefault="00210F47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Количество созданных и модернизированных учреждений культурно-досугового типа в сельской местности путем капитального ремонта зданий (нарастающим итогом)</w:t>
            </w:r>
          </w:p>
        </w:tc>
        <w:tc>
          <w:tcPr>
            <w:tcW w:w="1418" w:type="dxa"/>
            <w:noWrap/>
          </w:tcPr>
          <w:p w:rsidR="004D4A0A" w:rsidRDefault="004D4A0A">
            <w:pPr>
              <w:jc w:val="center"/>
              <w:rPr>
                <w:sz w:val="24"/>
              </w:rPr>
            </w:pPr>
          </w:p>
          <w:p w:rsidR="004D4A0A" w:rsidRDefault="00210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4D4A0A" w:rsidRPr="007C5FCF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5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6" w:name="_GoBack"/>
            <w:bookmarkEnd w:id="6"/>
          </w:p>
        </w:tc>
        <w:tc>
          <w:tcPr>
            <w:tcW w:w="2976" w:type="dxa"/>
            <w:noWrap/>
          </w:tcPr>
          <w:p w:rsidR="004D4A0A" w:rsidRPr="00691B06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0A">
        <w:tc>
          <w:tcPr>
            <w:tcW w:w="15593" w:type="dxa"/>
            <w:gridSpan w:val="8"/>
            <w:noWrap/>
          </w:tcPr>
          <w:p w:rsidR="004D4A0A" w:rsidRPr="00691B06" w:rsidRDefault="00D201C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10F47" w:rsidRPr="00691B06">
                <w:rPr>
                  <w:rFonts w:ascii="Times New Roman" w:eastAsia="Calibri" w:hAnsi="Times New Roman" w:cs="Times New Roman"/>
                  <w:b/>
                  <w:sz w:val="24"/>
                  <w:lang w:eastAsia="en-US"/>
                </w:rPr>
                <w:t>Подпрограмма 4</w:t>
              </w:r>
            </w:hyperlink>
            <w:r w:rsidR="00210F47" w:rsidRPr="00691B06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«Реализация мероприятий по укреплению единства российской нации и этнокультурному развитию народов России в Курской области»</w:t>
            </w:r>
          </w:p>
        </w:tc>
      </w:tr>
      <w:tr w:rsidR="00465FCD">
        <w:tc>
          <w:tcPr>
            <w:tcW w:w="851" w:type="dxa"/>
            <w:noWrap/>
          </w:tcPr>
          <w:p w:rsidR="00465FCD" w:rsidRDefault="00465FCD" w:rsidP="00465F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noWrap/>
          </w:tcPr>
          <w:p w:rsidR="00465FCD" w:rsidRDefault="00465FCD" w:rsidP="00465FCD">
            <w:pPr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Доля граждан, положительно оценивающих состояние межнациональных отношений, в общей численности населения Курской области</w:t>
            </w:r>
          </w:p>
        </w:tc>
        <w:tc>
          <w:tcPr>
            <w:tcW w:w="1418" w:type="dxa"/>
            <w:noWrap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</w:p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82,7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83,0</w:t>
            </w:r>
          </w:p>
        </w:tc>
        <w:tc>
          <w:tcPr>
            <w:tcW w:w="1134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83,0</w:t>
            </w:r>
          </w:p>
        </w:tc>
        <w:tc>
          <w:tcPr>
            <w:tcW w:w="2976" w:type="dxa"/>
            <w:noWrap/>
          </w:tcPr>
          <w:p w:rsidR="00465FCD" w:rsidRPr="00691B06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CD">
        <w:tc>
          <w:tcPr>
            <w:tcW w:w="851" w:type="dxa"/>
            <w:noWrap/>
          </w:tcPr>
          <w:p w:rsidR="00465FCD" w:rsidRDefault="00465FCD" w:rsidP="00465F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noWrap/>
          </w:tcPr>
          <w:p w:rsidR="00465FCD" w:rsidRDefault="00465FCD" w:rsidP="00465FCD">
            <w:pPr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Уровень дружелюбного отношения к представителям другой национальности на территории Курской области</w:t>
            </w:r>
          </w:p>
        </w:tc>
        <w:tc>
          <w:tcPr>
            <w:tcW w:w="1418" w:type="dxa"/>
            <w:noWrap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82,7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83,0</w:t>
            </w:r>
          </w:p>
        </w:tc>
        <w:tc>
          <w:tcPr>
            <w:tcW w:w="1134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83,0</w:t>
            </w:r>
          </w:p>
        </w:tc>
        <w:tc>
          <w:tcPr>
            <w:tcW w:w="2976" w:type="dxa"/>
            <w:noWrap/>
          </w:tcPr>
          <w:p w:rsidR="00465FCD" w:rsidRPr="00691B06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CD">
        <w:tc>
          <w:tcPr>
            <w:tcW w:w="851" w:type="dxa"/>
            <w:noWrap/>
          </w:tcPr>
          <w:p w:rsidR="00465FCD" w:rsidRDefault="00465FCD" w:rsidP="00465F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noWrap/>
          </w:tcPr>
          <w:p w:rsidR="00465FCD" w:rsidRDefault="00465FCD" w:rsidP="00465FCD">
            <w:pPr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Доля образовательных организаций, в которых реализуются мероприятия по укреплению гражданского единства и гармонизации межнациональных отношений</w:t>
            </w:r>
          </w:p>
        </w:tc>
        <w:tc>
          <w:tcPr>
            <w:tcW w:w="1418" w:type="dxa"/>
            <w:noWrap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95,7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96,0</w:t>
            </w:r>
          </w:p>
        </w:tc>
        <w:tc>
          <w:tcPr>
            <w:tcW w:w="1134" w:type="dxa"/>
            <w:noWrap/>
            <w:vAlign w:val="center"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96,0</w:t>
            </w:r>
          </w:p>
        </w:tc>
        <w:tc>
          <w:tcPr>
            <w:tcW w:w="2976" w:type="dxa"/>
            <w:noWrap/>
          </w:tcPr>
          <w:p w:rsidR="00465FCD" w:rsidRPr="00691B06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CD">
        <w:tc>
          <w:tcPr>
            <w:tcW w:w="851" w:type="dxa"/>
            <w:noWrap/>
          </w:tcPr>
          <w:p w:rsidR="00465FCD" w:rsidRDefault="00465FCD" w:rsidP="00465F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noWrap/>
          </w:tcPr>
          <w:p w:rsidR="00465FCD" w:rsidRDefault="00465FCD" w:rsidP="00465FCD">
            <w:pPr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418" w:type="dxa"/>
            <w:noWrap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67,7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3" w:type="dxa"/>
            <w:noWrap/>
            <w:vAlign w:val="center"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68,0</w:t>
            </w:r>
          </w:p>
        </w:tc>
        <w:tc>
          <w:tcPr>
            <w:tcW w:w="1134" w:type="dxa"/>
            <w:noWrap/>
            <w:vAlign w:val="center"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68,0</w:t>
            </w:r>
          </w:p>
        </w:tc>
        <w:tc>
          <w:tcPr>
            <w:tcW w:w="2976" w:type="dxa"/>
            <w:noWrap/>
          </w:tcPr>
          <w:p w:rsidR="00465FCD" w:rsidRPr="00691B06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CD">
        <w:tc>
          <w:tcPr>
            <w:tcW w:w="851" w:type="dxa"/>
            <w:noWrap/>
          </w:tcPr>
          <w:p w:rsidR="00465FCD" w:rsidRDefault="00465FCD" w:rsidP="00465F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noWrap/>
          </w:tcPr>
          <w:p w:rsidR="00465FCD" w:rsidRDefault="00465FCD" w:rsidP="00465FCD">
            <w:pPr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Численность участников мероприятий, направленных на этнокультурное развитие народов России, проживающих на территории Курской области</w:t>
            </w:r>
          </w:p>
        </w:tc>
        <w:tc>
          <w:tcPr>
            <w:tcW w:w="1418" w:type="dxa"/>
            <w:noWrap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8,4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8,6</w:t>
            </w:r>
          </w:p>
        </w:tc>
        <w:tc>
          <w:tcPr>
            <w:tcW w:w="1134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8,6</w:t>
            </w:r>
          </w:p>
        </w:tc>
        <w:tc>
          <w:tcPr>
            <w:tcW w:w="2976" w:type="dxa"/>
            <w:noWrap/>
          </w:tcPr>
          <w:p w:rsidR="00465FCD" w:rsidRPr="00691B06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CD">
        <w:tc>
          <w:tcPr>
            <w:tcW w:w="851" w:type="dxa"/>
            <w:noWrap/>
          </w:tcPr>
          <w:p w:rsidR="00465FCD" w:rsidRDefault="00465FCD" w:rsidP="00465F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noWrap/>
          </w:tcPr>
          <w:p w:rsidR="00465FCD" w:rsidRDefault="00465FCD" w:rsidP="00465FCD">
            <w:pPr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Количество участников мероприятий, направленных на сохранение и развитие самобытной казачьей культуры</w:t>
            </w:r>
          </w:p>
        </w:tc>
        <w:tc>
          <w:tcPr>
            <w:tcW w:w="1418" w:type="dxa"/>
            <w:noWrap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5,0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5,2</w:t>
            </w:r>
          </w:p>
        </w:tc>
        <w:tc>
          <w:tcPr>
            <w:tcW w:w="1134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5,2</w:t>
            </w:r>
          </w:p>
        </w:tc>
        <w:tc>
          <w:tcPr>
            <w:tcW w:w="2976" w:type="dxa"/>
            <w:noWrap/>
          </w:tcPr>
          <w:p w:rsidR="00465FCD" w:rsidRPr="00691B06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CD">
        <w:tc>
          <w:tcPr>
            <w:tcW w:w="851" w:type="dxa"/>
            <w:noWrap/>
          </w:tcPr>
          <w:p w:rsidR="00465FCD" w:rsidRDefault="00465FCD" w:rsidP="00465F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noWrap/>
          </w:tcPr>
          <w:p w:rsidR="00465FCD" w:rsidRDefault="00465FCD" w:rsidP="00465FCD">
            <w:pPr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Количество мероприятий, проведенных некоммерческими организациями в сфере духовно-просветительской деятельности</w:t>
            </w:r>
          </w:p>
        </w:tc>
        <w:tc>
          <w:tcPr>
            <w:tcW w:w="1418" w:type="dxa"/>
            <w:noWrap/>
          </w:tcPr>
          <w:p w:rsidR="00465FCD" w:rsidRDefault="00465FCD" w:rsidP="00465FCD">
            <w:pPr>
              <w:jc w:val="center"/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:rsidR="00465FCD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:rsidR="00465FCD" w:rsidRDefault="00465FCD" w:rsidP="00465FCD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2976" w:type="dxa"/>
            <w:noWrap/>
          </w:tcPr>
          <w:p w:rsidR="00465FCD" w:rsidRDefault="00465FCD" w:rsidP="00465FC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A0A">
        <w:tc>
          <w:tcPr>
            <w:tcW w:w="15593" w:type="dxa"/>
            <w:gridSpan w:val="8"/>
            <w:noWrap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Подпрограмма 5 «Туризм»</w:t>
            </w:r>
          </w:p>
        </w:tc>
      </w:tr>
      <w:tr w:rsidR="00691B06" w:rsidTr="00691B06">
        <w:tc>
          <w:tcPr>
            <w:tcW w:w="851" w:type="dxa"/>
            <w:noWrap/>
          </w:tcPr>
          <w:p w:rsidR="00691B06" w:rsidRDefault="00691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noWrap/>
          </w:tcPr>
          <w:p w:rsidR="00691B06" w:rsidRDefault="00691B0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Посещаемость туристско-информационного портала</w:t>
            </w:r>
          </w:p>
        </w:tc>
        <w:tc>
          <w:tcPr>
            <w:tcW w:w="1418" w:type="dxa"/>
            <w:noWrap/>
          </w:tcPr>
          <w:p w:rsidR="00691B06" w:rsidRDefault="00691B0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тыс. чел.</w:t>
            </w:r>
          </w:p>
        </w:tc>
        <w:tc>
          <w:tcPr>
            <w:tcW w:w="992" w:type="dxa"/>
            <w:noWrap/>
            <w:vAlign w:val="center"/>
          </w:tcPr>
          <w:p w:rsidR="00691B06" w:rsidRDefault="00691B06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81</w:t>
            </w:r>
          </w:p>
        </w:tc>
        <w:tc>
          <w:tcPr>
            <w:tcW w:w="992" w:type="dxa"/>
            <w:noWrap/>
            <w:vAlign w:val="center"/>
          </w:tcPr>
          <w:p w:rsidR="00691B06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91B06" w:rsidRDefault="00691B06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82</w:t>
            </w:r>
          </w:p>
        </w:tc>
        <w:tc>
          <w:tcPr>
            <w:tcW w:w="1134" w:type="dxa"/>
            <w:noWrap/>
            <w:vAlign w:val="center"/>
          </w:tcPr>
          <w:p w:rsidR="00691B06" w:rsidRPr="00691B06" w:rsidRDefault="00691B06" w:rsidP="00691B06">
            <w:pPr>
              <w:widowControl w:val="0"/>
              <w:jc w:val="center"/>
              <w:rPr>
                <w:bCs/>
                <w:sz w:val="24"/>
              </w:rPr>
            </w:pPr>
            <w:r w:rsidRPr="00691B06">
              <w:rPr>
                <w:bCs/>
                <w:sz w:val="24"/>
              </w:rPr>
              <w:t>123</w:t>
            </w:r>
          </w:p>
        </w:tc>
        <w:tc>
          <w:tcPr>
            <w:tcW w:w="2976" w:type="dxa"/>
            <w:noWrap/>
          </w:tcPr>
          <w:p w:rsidR="00691B06" w:rsidRPr="00691B06" w:rsidRDefault="00691B06" w:rsidP="00691B06">
            <w:pPr>
              <w:jc w:val="both"/>
              <w:rPr>
                <w:sz w:val="22"/>
                <w:szCs w:val="22"/>
              </w:rPr>
            </w:pPr>
            <w:r w:rsidRPr="00691B06">
              <w:rPr>
                <w:sz w:val="22"/>
                <w:szCs w:val="22"/>
              </w:rPr>
              <w:t>Превышение показателя связано с продвижением туристического потенциала Курской области на внутреннем туристическом рынке, что привело к увеличению посещаемости портала</w:t>
            </w:r>
          </w:p>
        </w:tc>
      </w:tr>
      <w:tr w:rsidR="00691B06" w:rsidTr="00691B06">
        <w:tc>
          <w:tcPr>
            <w:tcW w:w="851" w:type="dxa"/>
            <w:noWrap/>
          </w:tcPr>
          <w:p w:rsidR="00691B06" w:rsidRDefault="00691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noWrap/>
          </w:tcPr>
          <w:p w:rsidR="00691B06" w:rsidRDefault="00691B0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Число потребителей туристского продукта</w:t>
            </w:r>
          </w:p>
        </w:tc>
        <w:tc>
          <w:tcPr>
            <w:tcW w:w="1418" w:type="dxa"/>
            <w:noWrap/>
          </w:tcPr>
          <w:p w:rsidR="00691B06" w:rsidRDefault="00691B0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noWrap/>
            <w:vAlign w:val="center"/>
          </w:tcPr>
          <w:p w:rsidR="00691B06" w:rsidRDefault="00691B06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2710</w:t>
            </w:r>
          </w:p>
        </w:tc>
        <w:tc>
          <w:tcPr>
            <w:tcW w:w="992" w:type="dxa"/>
            <w:noWrap/>
            <w:vAlign w:val="center"/>
          </w:tcPr>
          <w:p w:rsidR="00691B06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91B06" w:rsidRDefault="00691B06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4000</w:t>
            </w:r>
          </w:p>
        </w:tc>
        <w:tc>
          <w:tcPr>
            <w:tcW w:w="1134" w:type="dxa"/>
            <w:noWrap/>
            <w:vAlign w:val="center"/>
          </w:tcPr>
          <w:p w:rsidR="00691B06" w:rsidRPr="0032291E" w:rsidRDefault="00691B06" w:rsidP="00691B06">
            <w:pPr>
              <w:jc w:val="center"/>
              <w:rPr>
                <w:sz w:val="24"/>
              </w:rPr>
            </w:pPr>
            <w:r w:rsidRPr="0032291E">
              <w:rPr>
                <w:sz w:val="24"/>
              </w:rPr>
              <w:t>4000</w:t>
            </w:r>
          </w:p>
        </w:tc>
        <w:tc>
          <w:tcPr>
            <w:tcW w:w="2976" w:type="dxa"/>
            <w:noWrap/>
          </w:tcPr>
          <w:p w:rsidR="00691B06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B06" w:rsidTr="00691B06">
        <w:tc>
          <w:tcPr>
            <w:tcW w:w="851" w:type="dxa"/>
            <w:noWrap/>
          </w:tcPr>
          <w:p w:rsidR="00691B06" w:rsidRDefault="00691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noWrap/>
            <w:vAlign w:val="center"/>
          </w:tcPr>
          <w:p w:rsidR="00691B06" w:rsidRDefault="00691B06">
            <w:pPr>
              <w:shd w:val="clear" w:color="auto" w:fill="FFFFFF"/>
              <w:ind w:right="-113"/>
              <w:rPr>
                <w:sz w:val="24"/>
              </w:rPr>
            </w:pPr>
            <w:r>
              <w:rPr>
                <w:sz w:val="24"/>
              </w:rPr>
              <w:t xml:space="preserve">Количество общественных инициатив, направленных на развитие туристической инфраструктуры, обеспеченных </w:t>
            </w:r>
            <w:proofErr w:type="spellStart"/>
            <w:r>
              <w:rPr>
                <w:sz w:val="24"/>
              </w:rPr>
              <w:lastRenderedPageBreak/>
              <w:t>грантовой</w:t>
            </w:r>
            <w:proofErr w:type="spellEnd"/>
            <w:r>
              <w:rPr>
                <w:sz w:val="24"/>
              </w:rPr>
              <w:t xml:space="preserve"> поддержкой</w:t>
            </w:r>
          </w:p>
        </w:tc>
        <w:tc>
          <w:tcPr>
            <w:tcW w:w="1418" w:type="dxa"/>
            <w:noWrap/>
            <w:vAlign w:val="center"/>
          </w:tcPr>
          <w:p w:rsidR="00691B06" w:rsidRDefault="00691B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ед.</w:t>
            </w:r>
          </w:p>
        </w:tc>
        <w:tc>
          <w:tcPr>
            <w:tcW w:w="992" w:type="dxa"/>
            <w:noWrap/>
            <w:vAlign w:val="center"/>
          </w:tcPr>
          <w:p w:rsidR="00691B06" w:rsidRDefault="00691B06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691B06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91B06" w:rsidRDefault="00691B06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691B06" w:rsidRDefault="00691B06" w:rsidP="00691B06">
            <w:pPr>
              <w:jc w:val="center"/>
            </w:pPr>
            <w:r>
              <w:t>10</w:t>
            </w:r>
          </w:p>
        </w:tc>
        <w:tc>
          <w:tcPr>
            <w:tcW w:w="2976" w:type="dxa"/>
            <w:noWrap/>
          </w:tcPr>
          <w:p w:rsidR="00691B06" w:rsidRPr="00691B06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91B06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числа общественных инициатив, </w:t>
            </w:r>
            <w:r w:rsidRPr="00691B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направленных на развитие туристической инфраструктуры в Курской области, произошло в связи с неиспользованными бюджетными обязательствами, переданными Министерству по приоритетным проектам развития территорий и туризма Курской области после результатов 1 и 2 конкурсного отбора. Было принято решение о повторном приеме заявок до полного расходования не распределенных средств субсидии. Каждый </w:t>
            </w:r>
            <w:proofErr w:type="gramStart"/>
            <w:r w:rsidRPr="00691B06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  <w:r w:rsidRPr="00691B06">
              <w:rPr>
                <w:rFonts w:ascii="Times New Roman" w:hAnsi="Times New Roman" w:cs="Times New Roman"/>
                <w:sz w:val="22"/>
                <w:szCs w:val="22"/>
              </w:rPr>
              <w:t xml:space="preserve"> оказывает существенное воздействие на стимулирование развития туризма и улучшение туристической инфраструктуры в регионе.</w:t>
            </w:r>
          </w:p>
        </w:tc>
      </w:tr>
      <w:tr w:rsidR="00691B06" w:rsidTr="00691B06">
        <w:tc>
          <w:tcPr>
            <w:tcW w:w="851" w:type="dxa"/>
            <w:noWrap/>
          </w:tcPr>
          <w:p w:rsidR="00691B06" w:rsidRDefault="00691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  <w:noWrap/>
            <w:vAlign w:val="center"/>
          </w:tcPr>
          <w:p w:rsidR="00691B06" w:rsidRDefault="00691B06">
            <w:pPr>
              <w:shd w:val="clear" w:color="auto" w:fill="FFFFFF"/>
              <w:ind w:right="-113"/>
              <w:rPr>
                <w:sz w:val="24"/>
              </w:rPr>
            </w:pPr>
            <w:r>
              <w:rPr>
                <w:sz w:val="24"/>
              </w:rPr>
              <w:t>Количество номеров в модульных некапитальных средствах размещения, введенных в эксплуатацию</w:t>
            </w:r>
          </w:p>
        </w:tc>
        <w:tc>
          <w:tcPr>
            <w:tcW w:w="1418" w:type="dxa"/>
            <w:noWrap/>
            <w:vAlign w:val="center"/>
          </w:tcPr>
          <w:p w:rsidR="00691B06" w:rsidRDefault="00691B0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992" w:type="dxa"/>
            <w:noWrap/>
            <w:vAlign w:val="center"/>
          </w:tcPr>
          <w:p w:rsidR="00691B06" w:rsidRDefault="00691B06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691B06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91B06" w:rsidRDefault="00691B06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691B06" w:rsidRDefault="00691B06" w:rsidP="00691B06">
            <w:pPr>
              <w:jc w:val="center"/>
            </w:pPr>
            <w:r>
              <w:t>3</w:t>
            </w:r>
          </w:p>
        </w:tc>
        <w:tc>
          <w:tcPr>
            <w:tcW w:w="2976" w:type="dxa"/>
            <w:noWrap/>
          </w:tcPr>
          <w:p w:rsidR="00691B06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A0A">
        <w:tc>
          <w:tcPr>
            <w:tcW w:w="851" w:type="dxa"/>
            <w:noWrap/>
          </w:tcPr>
          <w:p w:rsidR="004D4A0A" w:rsidRDefault="0021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noWrap/>
            <w:vAlign w:val="center"/>
          </w:tcPr>
          <w:p w:rsidR="004D4A0A" w:rsidRDefault="00210F47">
            <w:pPr>
              <w:pStyle w:val="ConsPlusNormal"/>
              <w:ind w:left="106" w:right="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1418" w:type="dxa"/>
            <w:noWrap/>
            <w:vAlign w:val="center"/>
          </w:tcPr>
          <w:p w:rsidR="004D4A0A" w:rsidRDefault="00210F4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4D4A0A" w:rsidRDefault="00210F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D4A0A" w:rsidRDefault="00210F47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4D4A0A" w:rsidRPr="00691B06" w:rsidRDefault="00691B0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B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noWrap/>
          </w:tcPr>
          <w:p w:rsidR="004D4A0A" w:rsidRDefault="004D4A0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4A0A" w:rsidRDefault="004D4A0A"/>
    <w:p w:rsidR="004D4A0A" w:rsidRDefault="004D4A0A"/>
    <w:p w:rsidR="004D4A0A" w:rsidRDefault="004D4A0A"/>
    <w:sectPr w:rsidR="004D4A0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C7" w:rsidRDefault="00D201C7">
      <w:r>
        <w:separator/>
      </w:r>
    </w:p>
  </w:endnote>
  <w:endnote w:type="continuationSeparator" w:id="0">
    <w:p w:rsidR="00D201C7" w:rsidRDefault="00D2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C7" w:rsidRDefault="00D201C7">
      <w:r>
        <w:separator/>
      </w:r>
    </w:p>
  </w:footnote>
  <w:footnote w:type="continuationSeparator" w:id="0">
    <w:p w:rsidR="00D201C7" w:rsidRDefault="00D2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0A"/>
    <w:rsid w:val="00210F47"/>
    <w:rsid w:val="002678EB"/>
    <w:rsid w:val="00280956"/>
    <w:rsid w:val="002A4CB5"/>
    <w:rsid w:val="0032291E"/>
    <w:rsid w:val="0041043B"/>
    <w:rsid w:val="00465FCD"/>
    <w:rsid w:val="00474A43"/>
    <w:rsid w:val="004D4A0A"/>
    <w:rsid w:val="005B09F3"/>
    <w:rsid w:val="006537D2"/>
    <w:rsid w:val="006900C4"/>
    <w:rsid w:val="00691B06"/>
    <w:rsid w:val="007010B8"/>
    <w:rsid w:val="00770C0C"/>
    <w:rsid w:val="007C5FCF"/>
    <w:rsid w:val="00804934"/>
    <w:rsid w:val="008A00C2"/>
    <w:rsid w:val="00957D2A"/>
    <w:rsid w:val="00995844"/>
    <w:rsid w:val="009C0123"/>
    <w:rsid w:val="00A227DF"/>
    <w:rsid w:val="00A27C52"/>
    <w:rsid w:val="00BB7A53"/>
    <w:rsid w:val="00C02AF9"/>
    <w:rsid w:val="00D201C7"/>
    <w:rsid w:val="00D5078A"/>
    <w:rsid w:val="00E76BC2"/>
    <w:rsid w:val="00F50C4E"/>
    <w:rsid w:val="00FC0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2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">
    <w:name w:val="Знак Знак7"/>
    <w:rPr>
      <w:rFonts w:ascii="Journal" w:hAnsi="Journal"/>
      <w:sz w:val="28"/>
      <w:lang w:bidi="ar-SA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2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">
    <w:name w:val="Знак Знак7"/>
    <w:rPr>
      <w:rFonts w:ascii="Journal" w:hAnsi="Journal"/>
      <w:sz w:val="28"/>
      <w:lang w:bidi="ar-SA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F151194370E24FD8C5B3911226C519128DCA9AB30F159CBAE199D3AA36C8E5D290010EA4F5E88BB7A1C6BC76FF436C791E725AAE0D94D175A9B3IAqD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15</cp:revision>
  <cp:lastPrinted>2024-02-29T08:38:00Z</cp:lastPrinted>
  <dcterms:created xsi:type="dcterms:W3CDTF">2024-02-28T20:17:00Z</dcterms:created>
  <dcterms:modified xsi:type="dcterms:W3CDTF">2024-03-04T11:00:00Z</dcterms:modified>
</cp:coreProperties>
</file>