
<file path=[Content_Types].xml><?xml version="1.0" encoding="utf-8"?>
<Types xmlns="http://schemas.openxmlformats.org/package/2006/content-types"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Id="rId1" Target="word/document.xml" Type="http://schemas.openxmlformats.org/officeDocument/2006/relationships/officeDocument"/><Relationship Id="rId2" Target="docProps/app.xml" Type="http://schemas.openxmlformats.org/officeDocument/2006/relationships/extended-properties"/><Relationship Id="rId3" Target="docProps/core.xml" Type="http://schemas.openxmlformats.org/package/2006/relationships/metadata/core-properties"/></Relationships>
</file>

<file path=word/document.xml><?xml version="1.0" encoding="utf-8"?>
<w:document xmlns:w="http://schemas.openxmlformats.org/wordprocessingml/2006/main">
  <w:body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7998"/>
        <w:gridCol w:w="3812"/>
        <w:gridCol w:w="279"/>
        <w:gridCol w:w="3617"/>
        <w:gridCol w:w="279"/>
      </w:tblGrid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Документ подписан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ЭЛЕКТРОННОЙ ПОДПИСЬЮ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П А С П О Р Т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Разработчик КПМ - Коновалова Анна Сергеевна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комплекса процессных мероприятий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single" w:sz="1" w:space="0"/>
              <w:bottom w:val="nil"/>
              <w:right w:val="nil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808080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СВЕДЕНИЯ О СЕРТИФИКАТЕ ЭП</w:t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«Обеспечение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области»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bottom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Сертификат: 00ac84ddb60392116c3370f87d3c772764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Владелец: Коновалова Анна Сергеевна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Действителен: с 10.04.2024 по 04.07.2025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подписания: 27.05.2025</w:t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nil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   Дата утверждения паспорта: 02.06.2025</w:t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2F2F2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1. Общие положения</w:t>
            </w:r>
          </w:p>
        </w:tc>
        <w:tc>
          <w:tcPr>
            <w:tcW w:w="381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орган исполнительной власти субъекта Российской Федерации (иной государственный орган, организация)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Связь с государственной программой</w:t>
            </w:r>
          </w:p>
        </w:tc>
        <w:tc>
          <w:tcPr>
            <w:tcW w:w="381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Государственная программа "Развитие культуры в Курской области"</w:t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799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81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6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7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22"/>
        <w:gridCol w:w="3283"/>
        <w:gridCol w:w="2072"/>
        <w:gridCol w:w="2072"/>
        <w:gridCol w:w="861"/>
        <w:gridCol w:w="861"/>
        <w:gridCol w:w="861"/>
        <w:gridCol w:w="861"/>
        <w:gridCol w:w="861"/>
        <w:gridCol w:w="861"/>
        <w:gridCol w:w="861"/>
        <w:gridCol w:w="861"/>
        <w:gridCol w:w="861"/>
        <w:gridCol w:w="1733"/>
      </w:tblGrid>
      <w:tr>
        <w:tc>
          <w:tcPr>
            <w:tcW w:w="52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 Показатели комплекса процессных мероприятий</w:t>
            </w:r>
          </w:p>
        </w:tc>
        <w:tc>
          <w:tcPr>
            <w:tcW w:w="328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28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показателя/задачи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207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52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73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3283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81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104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105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106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107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2 710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туристско-информационных услуг (в стационарных условиях)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32 000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33 000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34 000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35 000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36 000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328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Оказание туристско-информационных услуг (вне стационара)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207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2023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2 500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3 500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4 000</w:t>
            </w:r>
          </w:p>
        </w:tc>
        <w:tc>
          <w:tcPr>
            <w:tcW w:w="86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4 500</w:t>
            </w:r>
          </w:p>
        </w:tc>
        <w:tc>
          <w:tcPr>
            <w:tcW w:w="173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</w:tr>
      <w:tr>
        <w:tc>
          <w:tcPr>
            <w:tcW w:w="52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28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07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86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73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485"/>
        <w:gridCol w:w="9326"/>
        <w:gridCol w:w="2448"/>
        <w:gridCol w:w="2448"/>
        <w:gridCol w:w="2448"/>
      </w:tblGrid>
      <w:tr>
        <w:tc>
          <w:tcPr>
            <w:tcW w:w="1485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2.1. Показатели комплекса процессных мероприятий по муниципальным образованиям субъекта Российской Федерации</w:t>
            </w:r>
          </w:p>
        </w:tc>
        <w:tc>
          <w:tcPr>
            <w:tcW w:w="932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932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муниципального образования</w:t>
            </w:r>
          </w:p>
        </w:tc>
        <w:tc>
          <w:tcPr>
            <w:tcW w:w="244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244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годам</w:t>
            </w:r>
          </w:p>
        </w:tc>
      </w:tr>
      <w:tr>
        <w:tc>
          <w:tcPr>
            <w:tcW w:w="1485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485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32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244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</w:tr>
      <w:tr>
        <w:tc>
          <w:tcPr>
            <w:tcW w:w="1485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32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44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57"/>
        <w:gridCol w:w="2874"/>
        <w:gridCol w:w="181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754"/>
        <w:gridCol w:w="1517"/>
      </w:tblGrid>
      <w:tr>
        <w:tc>
          <w:tcPr>
            <w:tcW w:w="457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2.2. Прокси-показатели комплекса процессных мероприятий в 2025 году</w:t>
            </w:r>
          </w:p>
        </w:tc>
        <w:tc>
          <w:tcPr>
            <w:tcW w:w="287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87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14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 показателя по кварталам/месяцам</w:t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за достижение показателя</w:t>
            </w:r>
          </w:p>
        </w:tc>
      </w:tr>
      <w:tr>
        <w:tc>
          <w:tcPr>
            <w:tcW w:w="45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дек.</w:t>
            </w:r>
          </w:p>
        </w:tc>
        <w:tc>
          <w:tcPr>
            <w:tcW w:w="151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5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87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1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  <w:tc>
          <w:tcPr>
            <w:tcW w:w="7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17</w:t>
            </w:r>
          </w:p>
        </w:tc>
        <w:tc>
          <w:tcPr>
            <w:tcW w:w="151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</w:t>
            </w:r>
          </w:p>
        </w:tc>
      </w:tr>
      <w:tr>
        <w:tc>
          <w:tcPr>
            <w:tcW w:w="45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1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51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71"/>
        <w:gridCol w:w="2958"/>
        <w:gridCol w:w="1867"/>
        <w:gridCol w:w="1867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  <w:gridCol w:w="776"/>
      </w:tblGrid>
      <w:tr>
        <w:tc>
          <w:tcPr>
            <w:tcW w:w="471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3. Помесячный план достижения показателей комплекса процессных мероприятий в 2025 году</w:t>
            </w:r>
          </w:p>
        </w:tc>
        <w:tc>
          <w:tcPr>
            <w:tcW w:w="295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2958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Уровень показателя</w:t>
            </w:r>
          </w:p>
        </w:tc>
        <w:tc>
          <w:tcPr>
            <w:tcW w:w="1867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77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Плановые значения по месяцам</w:t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 конец 2025 года</w:t>
            </w:r>
          </w:p>
        </w:tc>
      </w:tr>
      <w:tr>
        <w:tc>
          <w:tcPr>
            <w:tcW w:w="471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янв.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фев.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март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апр.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май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июнь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июль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авг.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сен.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окт.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ноя.</w:t>
            </w:r>
          </w:p>
        </w:tc>
        <w:tc>
          <w:tcPr>
            <w:tcW w:w="776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14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15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16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</w:t>
            </w:r>
          </w:p>
        </w:tc>
        <w:tc>
          <w:tcPr>
            <w:tcW w:w="295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Посещаемость туристско-информационного портала 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Тысяча 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102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Число потребителей туристского продукта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Количество общественных инициатив, направленных на развитие туризма, обеспеченных грантовой поддержкой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туристско-информационных услуг (в стационарных условиях)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31 000</w:t>
            </w:r>
          </w:p>
        </w:tc>
      </w:tr>
      <w:tr>
        <w:tc>
          <w:tcPr>
            <w:tcW w:w="471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1.5.</w:t>
            </w:r>
          </w:p>
        </w:tc>
        <w:tc>
          <w:tcPr>
            <w:tcW w:w="295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Оказание туристско-информационных услуг (вне стационара)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КПМ</w:t>
            </w:r>
          </w:p>
        </w:tc>
        <w:tc>
          <w:tcPr>
            <w:tcW w:w="1867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Человек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77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2 000</w:t>
            </w:r>
          </w:p>
        </w:tc>
      </w:tr>
      <w:tr>
        <w:tc>
          <w:tcPr>
            <w:tcW w:w="471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95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867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77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52"/>
        <w:gridCol w:w="3469"/>
        <w:gridCol w:w="2200"/>
        <w:gridCol w:w="2200"/>
        <w:gridCol w:w="910"/>
        <w:gridCol w:w="910"/>
        <w:gridCol w:w="910"/>
        <w:gridCol w:w="910"/>
        <w:gridCol w:w="910"/>
        <w:gridCol w:w="910"/>
        <w:gridCol w:w="910"/>
        <w:gridCol w:w="910"/>
        <w:gridCol w:w="910"/>
      </w:tblGrid>
      <w:tr>
        <w:tc>
          <w:tcPr>
            <w:tcW w:w="552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4. Перечень мероприятий (результатов) комплекса процессных мероприятий</w:t>
            </w:r>
          </w:p>
        </w:tc>
        <w:tc>
          <w:tcPr>
            <w:tcW w:w="3469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№ п/п</w:t>
            </w:r>
          </w:p>
        </w:tc>
        <w:tc>
          <w:tcPr>
            <w:tcW w:w="34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Тип мероприятий (результата)</w:t>
            </w:r>
          </w:p>
        </w:tc>
        <w:tc>
          <w:tcPr>
            <w:tcW w:w="2200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 измерения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(по ОКЕИ)</w:t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Базовое значение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Значения мероприятия (результата), параметра характеристики мероприятия (результата) по годам</w:t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значение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год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</w:t>
            </w:r>
          </w:p>
        </w:tc>
      </w:tr>
      <w:tr>
        <w:tc>
          <w:tcPr>
            <w:tcW w:w="552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 «Формирование и продвижение качественного и конкурентоспособного туристского продукта»</w:t>
            </w:r>
          </w:p>
        </w:tc>
        <w:tc>
          <w:tcPr>
            <w:tcW w:w="3469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1.1.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Осуществление текущей деятельности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1.2.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Оказание услуг (выполнение работ)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1.3.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1.4.</w:t>
            </w:r>
          </w:p>
        </w:tc>
        <w:tc>
          <w:tcPr>
            <w:tcW w:w="34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Иные мероприятия (результаты)</w:t>
            </w:r>
          </w:p>
        </w:tc>
        <w:tc>
          <w:tcPr>
            <w:tcW w:w="220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Единица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2022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910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</w:tr>
      <w:tr>
        <w:tc>
          <w:tcPr>
            <w:tcW w:w="552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4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220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910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5863"/>
        <w:gridCol w:w="1406"/>
        <w:gridCol w:w="1406"/>
        <w:gridCol w:w="1406"/>
        <w:gridCol w:w="1406"/>
        <w:gridCol w:w="1406"/>
        <w:gridCol w:w="1406"/>
        <w:gridCol w:w="1406"/>
        <w:gridCol w:w="1406"/>
      </w:tblGrid>
      <w:tr>
        <w:tc>
          <w:tcPr>
            <w:tcW w:w="5863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 Финансовое обеспечение комплекса процессных мероприятий</w:t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мероприятия (результата) / источник финансового обеспечения</w:t>
            </w:r>
          </w:p>
        </w:tc>
        <w:tc>
          <w:tcPr>
            <w:tcW w:w="14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5863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2030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Комплекс процессных мероприятий "Обеспечение деятельности Министерства приоритетных проектов развития территорий и туризма Курской области, подведомственных учреждений, реализация комплекса мер, направленного на развитие внутреннего и въездного туризма в Курской области"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71 357,28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419 839,34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75 755,25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71 357,28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52 558,97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53 693,26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55 840,99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58 074,62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419 839,34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Нераспределенный резерв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20 127,98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19 776,23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20 567,28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21 389,97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138 908,29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20 127,98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19 015,61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19 776,23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20 567,28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21 389,97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138 908,29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приоритетных направлений туризма 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31 930,29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23 337,67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23 337,67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23 303,11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24 235,23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25 204,64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182 356,94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31 008,33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31 930,29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23 337,67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23 337,67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23 303,11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24 235,23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25 204,64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182 356,94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развитие туристических кластеров в Курской области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20 411,38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10 613,92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11 038,48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11 480,01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98 574,11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24 618,94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20 411,38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10 205,69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10 613,92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11 038,48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11 480,01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98 574,11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Реализован комплекс мер, направленный на увеличение туристского потока в Курскую область (всего), в том числе: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субъекта Российской Федерации (всего), из них: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федерального бюджета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 том числе межбюджетные трансферты из иных бюджетов бюджетной системы Российской Федерации (справочно)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местным бюджетам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межбюджетные трансферты бюджету территориального государственного внебюджетного фонда Российской Федерации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Бюджет территориального государственного внебюджетного фонда (бюджет территориального фонда обязательного медицинского страхования)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Консолидированные бюджеты муниципальных образований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Внебюджетные источники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  <w:tc>
          <w:tcPr>
            <w:tcW w:w="14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0,00</w:t>
            </w:r>
          </w:p>
        </w:tc>
      </w:tr>
      <w:tr>
        <w:tc>
          <w:tcPr>
            <w:tcW w:w="5863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14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  <w:tc>
          <w:tcPr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after="0"/>
              <w:ind w:left="55" w:right="55"/>
            </w:pPr>
            <w:r/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12669"/>
        <w:gridCol w:w="3038"/>
        <w:gridCol w:w="3038"/>
      </w:tblGrid>
      <w:tr>
        <w:tc>
          <w:tcPr>
            <w:tcW w:w="12669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5.1. Финансовое обеспечение комплекса процессных мероприятий за счет бюджетных ассигнований по источникам финансирования дефицита бюджета субъекта</w:t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Наименование комплекса процессных мероприятий</w:t>
            </w:r>
          </w:p>
        </w:tc>
        <w:tc>
          <w:tcPr>
            <w:tcW w:w="3038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Объем финансового обеспечения по годам реализации, тыс. рублей</w:t>
            </w:r>
          </w:p>
        </w:tc>
        <w:tc>
          <w:tcPr>
            <w:tcW w:w="3038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12669" w:type="dxa"/>
            <w:hMerge w:val="restart"/>
            <w:vMerge w:val="continue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Всего</w:t>
            </w:r>
          </w:p>
        </w:tc>
      </w:tr>
      <w:tr>
        <w:tc>
          <w:tcPr>
            <w:tcW w:w="12669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3038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</w:tr>
      <w:tr>
        <w:tc>
          <w:tcPr>
            <w:tcW w:w="12669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3038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p>
      <w:pPr>
        <w:spacing w:before="0" w:after="0"/>
      </w:pPr>
      <w:r>
        <w:rPr/>
      </w:r>
      <w:r>
        <w:rPr>
          <w:sz w:val="-2"/>
          <w:u w:val="none"/>
        </w:rPr>
      </w:r>
    </w:p>
    <w:tbl>
      <w:tblPr>
        <w:tblW w:w="15708" w:type="dxa"/>
        <w:tblBorders>
          <w:top w:val="single"/>
          <w:left w:val="single"/>
          <w:bottom w:val="single"/>
          <w:right w:val="single"/>
          <w:insideH w:val="single"/>
          <w:insideV w:val="single"/>
        </w:tblBorders>
      </w:tblPr>
      <w:tblGrid>
        <w:gridCol w:w="4006"/>
        <w:gridCol w:w="6346"/>
        <w:gridCol w:w="5354"/>
        <w:gridCol w:w="4006"/>
      </w:tblGrid>
      <w:tr>
        <w:tc>
          <w:tcPr>
            <w:tcW w:w="4006" w:type="dxa"/>
            <w:h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>6. План реализации комплекса процессных мероприятий в текущем году</w:t>
            </w:r>
          </w:p>
        </w:tc>
        <w:tc>
          <w:tcPr>
            <w:tcW w:w="634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n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Задача, мероприятие (результат) / контрольная точка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Дата наступления контрольной точки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Ответственный исполнитель (Ф.И.О., должность, наименование ОИВ субъекта Российской Федерации (местной администрации муниципального образования), иного государственного (муниципального) органа, организации)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Вид подтверждающего документа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</w:t>
            </w:r>
          </w:p>
        </w:tc>
      </w:tr>
      <w:tr>
        <w:tc>
          <w:tcPr>
            <w:tcW w:w="4006" w:type="dxa"/>
            <w:h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1. "Формирование и продвижение качественного и конкурентоспособного туристского продукта"</w:t>
            </w:r>
          </w:p>
        </w:tc>
        <w:tc>
          <w:tcPr>
            <w:tcW w:w="634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hMerge w:val="continue"/>
            <w:vMerge w:val="restart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 xml:space="preserve">1. Обеспечена деятельность и </w:t>
            </w:r>
          </w:p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выполнение функций исполнительных органов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2. Реализован комплекс мер, направленный на развитие приоритетных направлений туризма 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Государственное задание на оказание государственных услуг (выполнение работ) утверждено (включено в реестр государственных заданий)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04.04.2025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Приказ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 о порядке и условиях предоставления субсидии на выполнение государственного задания на оказание государственных услуг (выполнение работ) заключено (включено в реестр соглашений)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04.04.2025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Соглашение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Предоставлен отчет о выполнении соглашения о порядке и условиях предоставления субсидии на выполнение государственного задания на оказание государственных услуг (выполнение работ)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Отчет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Услуга оказана (работы выполнены)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20.01.2026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Иной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3. Реализован комплекс мер, направленный на развитие туристических кластеров в Курской области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left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4. Реализован комплекс мер, направленный на увеличение туристского потока в Курскую область</w:t>
            </w:r>
          </w:p>
        </w:tc>
        <w:tc>
          <w:tcPr>
            <w:tcW w:w="634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X</w:t>
            </w:r>
          </w:p>
        </w:tc>
        <w:tc>
          <w:tcPr>
            <w:tcW w:w="5354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Коновалова Анна Сергеевна - Временно исполняющий обязанности министра приоритетных проектов развития территорий и туризма Курской области</w:t>
            </w:r>
          </w:p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МИНИСТЕРСТВО ПРИОРИТЕТНЫХ ПРОЕКТОВ РАЗВИТИЯ ТЕРРИТОРИЙ И ТУРИЗМА КУРСКОЙ ОБЛАСТИ</w:t>
            </w:r>
          </w:p>
        </w:tc>
        <w:tc>
          <w:tcPr>
            <w:tcW w:w="4006" w:type="dxa"/>
            <w:tcBorders>
              <w:top w:val="single" w:sz="1" w:space="0"/>
              <w:left w:val="single" w:sz="1" w:space="0"/>
              <w:bottom w:val="single" w:sz="1" w:space="0"/>
              <w:right w:val="single" w:sz="1" w:space="0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>Универсальный передаточный документ</w:t>
            </w:r>
          </w:p>
        </w:tc>
      </w:tr>
      <w:tr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634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5354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  <w:tc>
          <w:tcPr>
            <w:tcW w:w="4006" w:type="dxa"/>
            <w:tcBorders>
              <w:top w:val="nil"/>
              <w:left w:val="nil"/>
              <w:bottom w:val="nil"/>
              <w:right w:val="nil"/>
            </w:tcBorders>
            <w:shd w:val="solid" w:color="FFFFFF" w:fill="auto"/>
            <w:vAlign w:val="top"/>
          </w:tcPr>
          <w:p>
            <w:pPr>
              <w:spacing w:after="0"/>
              <w:ind w:left="0" w:right="0"/>
              <w:jc w:val="center"/>
              <w:rPr>
                <w:szCs w:val="18"/>
                <w:sz w:val="18"/>
              </w:rPr>
            </w:pPr>
            <w:r>
              <w:rPr>
                <w:rFonts w:ascii="Times New Roman" w:hAnsi="Times New Roman" w:cs="Times New Roman" w:eastAsia="Times New Roman"/>
                <w:sz w:val="18"/>
                <w:szCs w:val="18"/>
                <w:b w:val="off"/>
                <w:i w:val="off"/>
                <w:strike w:val="off"/>
                <w:color w:val="000000"/>
                <w:u w:val="none"/>
              </w:rPr>
              <w:t/>
            </w:r>
          </w:p>
        </w:tc>
      </w:tr>
    </w:tbl>
    <w:sectPr>
      <w:pgSz w:orient="landscape" w:w="16840" w:h="11900"/>
      <w:pgMar w:left="566" w:right="566" w:top="1133" w:bottom="1133"/>
    </w:sectPr>
  </w:body>
</w:document>
</file>

<file path=word/settings.xml><?xml version="1.0" encoding="utf-8"?>
<w:settings xmlns:w="http://schemas.openxmlformats.org/wordprocessingml/2006/main"/>
</file>

<file path=word/styles.xml><?xml version="1.0" encoding="utf-8"?>
<w:styles xmlns:w="http://schemas.openxmlformats.org/wordprocessingml/2006/main">
  <w:style w:styleId="Metadata">
    <w:name w:val="Версия сервера генератора печатных документов: 14.67 Версия клиента генератора печатных документов: 14.0.32 Текущий пользователь: 46_Grigoryan.R.YU1_ba1d2a94e85a4f46a710926af67fb941 Данные о генерации: DataSourceProvider: ru.krista.planning2.common.web.beans.RetoolsDataSourceProvider TemplateStorage: ru.krista.retools.reporting.print.doc.editor.TemplateInfoBasedStorage GenerationCache: ru.krista.print.doc.editor.generation.InMemoryGenerationCache FunctionProviders:  * ru.krista.print.doc.editor.evaluator.InMemoryFunctionProvider * ru.krista.retools.reporting.print.doc.editor.RetoolsFunctionProvider "/>
  </w:style>
</w:styles>
</file>

<file path=word/_rels/document.xml.rels><?xml version="1.0" encoding="UTF-8" standalone="yes"?><Relationships xmlns="http://schemas.openxmlformats.org/package/2006/relationships"><Relationship Id="rId1" Target="settings.xml" Type="http://schemas.openxmlformats.org/officeDocument/2006/relationships/settings"/><Relationship Id="rId2" Target="styles.xml" Type="http://schemas.openxmlformats.org/officeDocument/2006/relationships/styles"/></Relationships>
</file>

<file path=docProps/app.xml><?xml version="1.0" encoding="utf-8"?>
<Properties xmlns="http://schemas.openxmlformats.org/officeDocument/2006/extended-properties">
  <Application>Apache POI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dcterms:created xsi:type="dcterms:W3CDTF">2025-09-10T14:12:31Z</dcterms:created>
  <dc:creator>Apache POI</dc:creator>
</cp:coreProperties>
</file>