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E244D0">
        <w:rPr>
          <w:bCs/>
        </w:rPr>
        <w:t>28.02.2023</w:t>
      </w:r>
      <w:r w:rsidR="00EE25B2" w:rsidRPr="00776520">
        <w:rPr>
          <w:bCs/>
        </w:rPr>
        <w:t xml:space="preserve"> № </w:t>
      </w:r>
      <w:r w:rsidR="00E244D0">
        <w:rPr>
          <w:bCs/>
        </w:rPr>
        <w:t>240-пп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CD1DC5" w:rsidP="00CD1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proofErr w:type="gramStart"/>
            <w:r>
              <w:rPr>
                <w:sz w:val="24"/>
                <w:szCs w:val="24"/>
              </w:rPr>
              <w:t>экономического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04431" w:rsidRPr="00B570E6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я</w:t>
            </w:r>
            <w:r w:rsidR="00704431" w:rsidRPr="00B570E6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D1DC5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  <w:r w:rsidR="00CB2353" w:rsidRPr="00B570E6">
              <w:rPr>
                <w:sz w:val="24"/>
                <w:szCs w:val="24"/>
              </w:rPr>
              <w:t xml:space="preserve">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="00CB2353"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="00CB2353"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3C26DF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Администрация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образования и науки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культуры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строительства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физической культуры и спорта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сельского хозяйства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 xml:space="preserve">Министерство </w:t>
            </w:r>
            <w:proofErr w:type="gramStart"/>
            <w:r w:rsidRPr="00CD1DC5">
              <w:rPr>
                <w:sz w:val="24"/>
                <w:szCs w:val="24"/>
              </w:rPr>
              <w:t>внутренней</w:t>
            </w:r>
            <w:proofErr w:type="gramEnd"/>
            <w:r w:rsidRPr="00CD1DC5">
              <w:rPr>
                <w:sz w:val="24"/>
                <w:szCs w:val="24"/>
              </w:rPr>
              <w:t xml:space="preserve"> и молодежной политики 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природных ресурсов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комитет по труду и занятости населения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транспорта и автомобильных дорог Курской области</w:t>
            </w:r>
          </w:p>
          <w:p w:rsidR="00B570E6" w:rsidRPr="00CD1DC5" w:rsidRDefault="00B570E6" w:rsidP="003C26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3.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4.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</w:t>
            </w:r>
            <w:r w:rsidR="003C26DF">
              <w:rPr>
                <w:sz w:val="24"/>
                <w:szCs w:val="24"/>
              </w:rPr>
              <w:t> </w:t>
            </w:r>
            <w:r w:rsidRPr="00B570E6">
              <w:rPr>
                <w:sz w:val="24"/>
                <w:szCs w:val="24"/>
              </w:rPr>
              <w:t>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3C26DF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7.</w:t>
            </w:r>
            <w:r w:rsidR="003C26DF">
              <w:rPr>
                <w:sz w:val="24"/>
                <w:szCs w:val="24"/>
              </w:rPr>
              <w:t> 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(тыс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</w:t>
            </w:r>
            <w:r w:rsidR="00314E0A" w:rsidRPr="000A5ED6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</w:t>
            </w:r>
            <w:r w:rsidR="00314E0A">
              <w:rPr>
                <w:sz w:val="24"/>
                <w:szCs w:val="24"/>
                <w:lang w:val="en-US"/>
              </w:rPr>
              <w:t>5</w:t>
            </w:r>
            <w:r w:rsidRPr="00B570E6">
              <w:rPr>
                <w:sz w:val="24"/>
                <w:szCs w:val="24"/>
              </w:rPr>
              <w:t xml:space="preserve">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CD1DC5">
              <w:rPr>
                <w:sz w:val="24"/>
                <w:szCs w:val="24"/>
              </w:rPr>
              <w:t>9 339 344,508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2</w:t>
            </w:r>
            <w:r w:rsidR="003C26DF">
              <w:rPr>
                <w:sz w:val="24"/>
                <w:szCs w:val="24"/>
              </w:rPr>
              <w:t> 105 155,028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CD1DC5">
              <w:rPr>
                <w:sz w:val="24"/>
                <w:szCs w:val="24"/>
              </w:rPr>
              <w:t>985 477,246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916 116,358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908 384,116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314E0A">
              <w:rPr>
                <w:sz w:val="24"/>
                <w:szCs w:val="24"/>
              </w:rPr>
              <w:t>7</w:t>
            </w:r>
            <w:r w:rsidR="00CD1DC5">
              <w:rPr>
                <w:sz w:val="24"/>
                <w:szCs w:val="24"/>
              </w:rPr>
              <w:t> 971 412,026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C26DF">
              <w:rPr>
                <w:sz w:val="24"/>
                <w:szCs w:val="24"/>
              </w:rPr>
              <w:t>2 032 272,728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</w:t>
            </w:r>
            <w:r w:rsidRPr="000B59E1">
              <w:rPr>
                <w:sz w:val="24"/>
                <w:szCs w:val="24"/>
              </w:rPr>
              <w:t xml:space="preserve">– </w:t>
            </w:r>
            <w:r w:rsidR="00CD1DC5">
              <w:rPr>
                <w:sz w:val="24"/>
                <w:szCs w:val="24"/>
              </w:rPr>
              <w:t>891 080,446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A04E01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833 840,358</w:t>
            </w:r>
            <w:r w:rsidR="006E2344"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908 384,116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CD1DC5">
              <w:rPr>
                <w:sz w:val="24"/>
                <w:szCs w:val="24"/>
              </w:rPr>
              <w:t> 367 932,482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CD1DC5">
              <w:rPr>
                <w:sz w:val="24"/>
                <w:szCs w:val="24"/>
              </w:rPr>
              <w:t>94 396,800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82 276,000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  <w:r w:rsidR="0042529D">
              <w:rPr>
                <w:sz w:val="24"/>
                <w:szCs w:val="24"/>
              </w:rPr>
              <w:t>;</w:t>
            </w:r>
          </w:p>
          <w:p w:rsidR="0042529D" w:rsidRPr="009D7AEC" w:rsidRDefault="0042529D" w:rsidP="00CD1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0,000</w:t>
            </w:r>
            <w:r>
              <w:rPr>
                <w:sz w:val="24"/>
                <w:szCs w:val="24"/>
              </w:rPr>
              <w:t xml:space="preserve"> тыс. рублей.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– </w:t>
            </w:r>
            <w:r w:rsidR="0042529D">
              <w:rPr>
                <w:sz w:val="24"/>
                <w:szCs w:val="24"/>
              </w:rPr>
              <w:t>8 163 438,00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</w:t>
            </w:r>
            <w:r w:rsidR="0042529D">
              <w:rPr>
                <w:sz w:val="24"/>
                <w:szCs w:val="24"/>
              </w:rPr>
              <w:t>121,5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</w:t>
            </w:r>
            <w:r w:rsidR="0042529D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>, до 140,2 тыс. человек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</w:t>
            </w:r>
            <w:r w:rsidR="0042529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</w:t>
            </w:r>
            <w:r w:rsidR="0042529D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1846C3" w:rsidRPr="00343168" w:rsidRDefault="001846C3" w:rsidP="001846C3">
      <w:pPr>
        <w:ind w:firstLine="567"/>
        <w:jc w:val="both"/>
      </w:pPr>
      <w:r w:rsidRPr="000B59E1">
        <w:t>За последние годы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региональные институты развития.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1846C3" w:rsidRPr="00343168" w:rsidRDefault="001846C3" w:rsidP="001846C3">
      <w:pPr>
        <w:ind w:firstLine="567"/>
        <w:jc w:val="both"/>
      </w:pPr>
      <w:r w:rsidRPr="000B59E1">
        <w:t xml:space="preserve">В целях повышения информационной открытости региона в 2012 - 2019 годах органами исполнительной власти Курской области совместно с российским информационным агентством АК&amp;М проводился Среднерусский экономический форум, который привлекал большое количество участников, в том числе инвесторов, предпринимателей, что позволило курскому бизнесу найти новых партнеров и расширить объемы производства. В настоящее время проводятся значимые </w:t>
      </w:r>
      <w:proofErr w:type="spellStart"/>
      <w:r w:rsidRPr="000B59E1">
        <w:t>имиджевые</w:t>
      </w:r>
      <w:proofErr w:type="spellEnd"/>
      <w:r w:rsidRPr="000B59E1">
        <w:t xml:space="preserve"> мероприятия, нацеленные на позиционирование Курской области как </w:t>
      </w:r>
      <w:proofErr w:type="spellStart"/>
      <w:r w:rsidRPr="000B59E1">
        <w:t>инвестиционно-привлекательного</w:t>
      </w:r>
      <w:proofErr w:type="spellEnd"/>
      <w:r w:rsidRPr="000B59E1">
        <w:t xml:space="preserve"> региона, территории, благоприятной для ведения бизнеса.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0324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03240A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</w:t>
      </w:r>
      <w:r w:rsidR="00CD1DC5">
        <w:t xml:space="preserve">АУ КО </w:t>
      </w:r>
      <w:r w:rsidR="007E7103" w:rsidRPr="00CC2F02">
        <w:t xml:space="preserve">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</w:t>
      </w:r>
      <w:r w:rsidR="00FA640D">
        <w:t xml:space="preserve"> и развития</w:t>
      </w:r>
      <w:r w:rsidR="00B33483">
        <w:t xml:space="preserve"> особой экономической зоны промышленно-производственного типа</w:t>
      </w:r>
      <w:r w:rsidR="00FA640D">
        <w:t>, индустриальных (промышленных) парков</w:t>
      </w:r>
      <w:r w:rsidR="00B33483">
        <w:t>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</w:t>
      </w:r>
      <w:r w:rsidR="00FA3990">
        <w:t>5</w:t>
      </w:r>
      <w:r>
        <w:t xml:space="preserve"> годы </w:t>
      </w:r>
      <w:r w:rsidR="00FA3990">
        <w:t>пяти</w:t>
      </w:r>
      <w:r>
        <w:t xml:space="preserve">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</w:t>
      </w:r>
      <w:proofErr w:type="spellStart"/>
      <w:r w:rsidR="005430D9">
        <w:t>самозанятых</w:t>
      </w:r>
      <w:proofErr w:type="spellEnd"/>
      <w:r w:rsidR="005430D9">
        <w:t>, до 140,2 тыс. человек в 202</w:t>
      </w:r>
      <w:r w:rsidR="00FA3990">
        <w:t>5</w:t>
      </w:r>
      <w:r w:rsidR="005430D9">
        <w:t xml:space="preserve">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</w:t>
      </w:r>
      <w:r w:rsidR="00FA3990">
        <w:t>ежегодно с</w:t>
      </w:r>
      <w:r w:rsidR="002C33BD" w:rsidRPr="00B570E6">
        <w:t xml:space="preserve"> 2018</w:t>
      </w:r>
      <w:r w:rsidRPr="00B570E6">
        <w:t xml:space="preserve"> год</w:t>
      </w:r>
      <w:r w:rsidR="00FA3990">
        <w:t>а</w:t>
      </w:r>
      <w:r w:rsidRPr="00B570E6">
        <w:t>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</w:t>
      </w:r>
      <w:r w:rsidR="007A413C">
        <w:t>5</w:t>
      </w:r>
      <w:r>
        <w:t xml:space="preserve">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7A413C">
        <w:t>5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7A413C">
        <w:t>5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</w:t>
      </w:r>
      <w:r w:rsidR="007A413C">
        <w:t>5</w:t>
      </w:r>
      <w:r w:rsidR="001010C0" w:rsidRPr="00B570E6">
        <w:t xml:space="preserve">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 xml:space="preserve">. Численность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03240A" w:rsidP="00F14F74">
      <w:pPr>
        <w:ind w:firstLine="709"/>
        <w:jc w:val="both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" o:spid="_x0000_s1026" type="#_x0000_t5" style="position:absolute;left:0;text-align:left;margin-left:24.9pt;margin-top:3.35pt;width:7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03240A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7A413C">
        <w:t>, индустриальных (промышленных) парков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 xml:space="preserve">обеспечение деятельности и выполнение функций </w:t>
      </w:r>
      <w:r w:rsidR="00CD1DC5">
        <w:t>Министерства</w:t>
      </w:r>
      <w:r w:rsidRPr="00B570E6">
        <w:t xml:space="preserve">  экономи</w:t>
      </w:r>
      <w:r w:rsidR="00CD1DC5">
        <w:t xml:space="preserve">ческого </w:t>
      </w:r>
      <w:r w:rsidRPr="00B570E6">
        <w:t>развити</w:t>
      </w:r>
      <w:r w:rsidR="00CD1DC5">
        <w:t>я</w:t>
      </w:r>
      <w:r w:rsidRPr="00B570E6">
        <w:t xml:space="preserve">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03240A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C20A1E" w:rsidRDefault="00704431" w:rsidP="00C20A1E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Default="000820E1" w:rsidP="00C20A1E">
      <w:pPr>
        <w:pStyle w:val="ConsPlusNormal"/>
        <w:ind w:firstLine="540"/>
        <w:jc w:val="both"/>
      </w:pPr>
      <w:proofErr w:type="gramStart"/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</w:t>
      </w:r>
      <w:r w:rsidR="001846C3">
        <w:t xml:space="preserve">ентам особой экономической </w:t>
      </w:r>
      <w:r w:rsidR="001846C3" w:rsidRPr="000B59E1">
        <w:t>зоны;</w:t>
      </w:r>
    </w:p>
    <w:p w:rsidR="001846C3" w:rsidRPr="00343168" w:rsidRDefault="001846C3" w:rsidP="001846C3">
      <w:pPr>
        <w:pStyle w:val="ConsPlusNormal"/>
        <w:ind w:firstLine="567"/>
        <w:jc w:val="both"/>
      </w:pPr>
      <w:r w:rsidRPr="00343168">
        <w:t>организация работы по предоставлению инвесторам государственн</w:t>
      </w:r>
      <w:r>
        <w:t>ой поддержки в форме субсидий.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</w:t>
      </w:r>
      <w:r w:rsidR="00C20A1E">
        <w:t>18.11.2020</w:t>
      </w:r>
      <w:r w:rsidRPr="00CC2F02">
        <w:t xml:space="preserve"> </w:t>
      </w:r>
      <w:r w:rsidR="007E59ED" w:rsidRPr="00CC2F02">
        <w:t>№</w:t>
      </w:r>
      <w:r w:rsidRPr="00CC2F02">
        <w:t xml:space="preserve"> </w:t>
      </w:r>
      <w:r w:rsidR="00C20A1E">
        <w:t>1152-па</w:t>
      </w:r>
      <w:r w:rsidRPr="00CC2F02">
        <w:t xml:space="preserve"> </w:t>
      </w:r>
      <w:r w:rsidR="007E59ED" w:rsidRPr="00CC2F02">
        <w:t>«</w:t>
      </w:r>
      <w:r w:rsidRPr="00CC2F02">
        <w:t xml:space="preserve">О перечне услуг </w:t>
      </w:r>
      <w:r w:rsidR="00C20A1E">
        <w:t>Курской области</w:t>
      </w:r>
      <w:r w:rsidR="007E59ED" w:rsidRPr="00CC2F02">
        <w:t>»</w:t>
      </w:r>
      <w:r w:rsidRPr="00CC2F02">
        <w:t>;</w:t>
      </w:r>
    </w:p>
    <w:p w:rsidR="00704431" w:rsidRPr="00C20A1E" w:rsidRDefault="00C20A1E" w:rsidP="00704431">
      <w:pPr>
        <w:pStyle w:val="ConsPlusNormal"/>
        <w:ind w:firstLine="540"/>
        <w:jc w:val="both"/>
        <w:rPr>
          <w:i/>
        </w:rPr>
      </w:pPr>
      <w:r>
        <w:rPr>
          <w:i/>
        </w:rPr>
        <w:t>утратил силу (постановление Администрации Курской области от 30.12.2022 № 1661-па)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</w:t>
      </w:r>
      <w:r w:rsidR="009F7B78">
        <w:t>Правительством</w:t>
      </w:r>
      <w:r w:rsidRPr="00CC2F02">
        <w:t xml:space="preserve">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</w:t>
      </w:r>
      <w:r w:rsidR="00CD1DC5">
        <w:t xml:space="preserve">автономное </w:t>
      </w:r>
      <w:r w:rsidRPr="00CC2F02">
        <w:t xml:space="preserve">учреждение </w:t>
      </w:r>
      <w:r w:rsidR="00CD1DC5">
        <w:t xml:space="preserve">Курской области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</w:t>
      </w:r>
      <w:r w:rsidR="00CD1DC5">
        <w:t>АУ КО</w:t>
      </w:r>
      <w:r w:rsidRPr="00CC2F02">
        <w:t xml:space="preserve">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</w:t>
      </w:r>
      <w:r w:rsidR="00383CDE">
        <w:t xml:space="preserve">  АУ КО</w:t>
      </w:r>
      <w:r w:rsidRPr="00CC2F02">
        <w:t xml:space="preserve">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</w:t>
      </w:r>
      <w:r w:rsidR="00383CDE">
        <w:t>АУ КО</w:t>
      </w:r>
      <w:r w:rsidRPr="00CC2F02">
        <w:t xml:space="preserve">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1846C3" w:rsidRPr="00CC2F02" w:rsidRDefault="001846C3" w:rsidP="009F7B78">
      <w:pPr>
        <w:ind w:firstLine="567"/>
        <w:jc w:val="both"/>
      </w:pPr>
      <w:r w:rsidRPr="000B59E1">
        <w:rPr>
          <w:color w:val="000000" w:themeColor="text1"/>
        </w:rPr>
        <w:t xml:space="preserve">в рамках </w:t>
      </w:r>
      <w:hyperlink w:anchor="P1109">
        <w:r w:rsidRPr="000B59E1">
          <w:rPr>
            <w:color w:val="000000" w:themeColor="text1"/>
          </w:rPr>
          <w:t>подпрограммы 1</w:t>
        </w:r>
      </w:hyperlink>
      <w:r w:rsidRPr="000B59E1">
        <w:rPr>
          <w:color w:val="000000" w:themeColor="text1"/>
        </w:rPr>
        <w:t xml:space="preserve"> «Создание благоприятных условий для привлечения инвестиций в экономику </w:t>
      </w:r>
      <w:r w:rsidRPr="000B59E1">
        <w:t>Курской области» мероприятия подпрограммы планируется реализовывать с участием АО «Корпорация развития Курской области»;</w:t>
      </w:r>
    </w:p>
    <w:p w:rsidR="002840E9" w:rsidRPr="002840E9" w:rsidRDefault="002840E9" w:rsidP="009F7B78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9F7B78" w:rsidRPr="00B570E6" w:rsidRDefault="009F7B78" w:rsidP="009F7B78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6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</w:t>
      </w:r>
      <w:r w:rsidR="005430D9">
        <w:t xml:space="preserve">риемной </w:t>
      </w:r>
      <w:r w:rsidRPr="00CC2F02">
        <w:t>Уполномоченного по защите прав предпринимателей.</w:t>
      </w:r>
      <w:proofErr w:type="gramEnd"/>
      <w:r w:rsidRPr="00CC2F02">
        <w:t xml:space="preserve"> </w:t>
      </w:r>
      <w:proofErr w:type="gramStart"/>
      <w:r w:rsidRPr="00CC2F02">
        <w:t>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 xml:space="preserve">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proofErr w:type="gramEnd"/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8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9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1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2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3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4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5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6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7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</w:t>
      </w:r>
      <w:r w:rsidR="000A5ED6" w:rsidRPr="000A5ED6">
        <w:t>5</w:t>
      </w:r>
      <w:r w:rsidRPr="00CC0B3D">
        <w:t xml:space="preserve"> годах составляет</w:t>
      </w:r>
      <w:r w:rsidR="00026B39">
        <w:t xml:space="preserve"> </w:t>
      </w:r>
      <w:r w:rsidR="00383CDE">
        <w:t>9 437 325,398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2</w:t>
      </w:r>
      <w:r w:rsidR="00C20A1E">
        <w:t> 105 155,028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383CDE">
        <w:t>985 477,246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383CDE">
        <w:t>916 116,358</w:t>
      </w:r>
      <w:r w:rsidRPr="00CC0B3D">
        <w:t xml:space="preserve"> тыс. рублей</w:t>
      </w:r>
      <w:r w:rsidR="000A5ED6">
        <w:t>;</w:t>
      </w:r>
    </w:p>
    <w:p w:rsidR="000A5ED6" w:rsidRPr="000A5ED6" w:rsidRDefault="000A5ED6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908 384,116</w:t>
      </w:r>
      <w:r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</w:t>
      </w:r>
      <w:r w:rsidR="000A5ED6">
        <w:t>5</w:t>
      </w:r>
      <w:r w:rsidRPr="00CC0B3D">
        <w:t xml:space="preserve"> годах составляет 1</w:t>
      </w:r>
      <w:r w:rsidR="00383CDE">
        <w:t> 367 932,482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383CDE">
        <w:t>94 396,800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383CDE">
        <w:t>82 276,000</w:t>
      </w:r>
      <w:r w:rsidRPr="00CC0B3D">
        <w:t xml:space="preserve"> тыс. рублей</w:t>
      </w:r>
      <w:r w:rsidR="000A5ED6">
        <w:t>;</w:t>
      </w:r>
    </w:p>
    <w:p w:rsidR="000A5ED6" w:rsidRPr="00CC0B3D" w:rsidRDefault="000A5ED6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0,000</w:t>
      </w:r>
      <w:r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</w:t>
      </w:r>
      <w:r w:rsidR="000A5ED6">
        <w:t>5</w:t>
      </w:r>
      <w:r w:rsidR="00E94412">
        <w:t xml:space="preserve"> годах составляет </w:t>
      </w:r>
      <w:r w:rsidR="000A5ED6">
        <w:t>7</w:t>
      </w:r>
      <w:r w:rsidR="00383CDE">
        <w:t> 971 412,026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C20A1E">
        <w:t>2 032 272,728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383CDE">
        <w:t>891 080,446</w:t>
      </w:r>
      <w:r w:rsidRPr="00CC0B3D">
        <w:t xml:space="preserve"> тыс. рублей</w:t>
      </w:r>
      <w:r>
        <w:t>;</w:t>
      </w:r>
    </w:p>
    <w:p w:rsidR="0058478D" w:rsidRDefault="0071251D" w:rsidP="0058478D">
      <w:pPr>
        <w:autoSpaceDE w:val="0"/>
        <w:autoSpaceDN w:val="0"/>
        <w:adjustRightInd w:val="0"/>
        <w:ind w:firstLine="540"/>
        <w:jc w:val="both"/>
      </w:pPr>
      <w:r>
        <w:t xml:space="preserve">2024 год – </w:t>
      </w:r>
      <w:r w:rsidR="00383CDE">
        <w:t>833 840,358</w:t>
      </w:r>
      <w:r w:rsidR="0058478D">
        <w:t xml:space="preserve"> тыс. рублей</w:t>
      </w:r>
      <w:r w:rsidR="00560FD4">
        <w:t>;</w:t>
      </w:r>
    </w:p>
    <w:p w:rsidR="00560FD4" w:rsidRDefault="00560FD4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908 384,116</w:t>
      </w:r>
      <w:r>
        <w:t xml:space="preserve">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</w:t>
      </w:r>
      <w:r w:rsidR="00560FD4">
        <w:t>5</w:t>
      </w:r>
      <w:r>
        <w:t xml:space="preserve">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</w:t>
      </w:r>
      <w:r w:rsidR="00560FD4">
        <w:t>5</w:t>
      </w:r>
      <w:r>
        <w:t xml:space="preserve">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8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59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7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C5" w:rsidRDefault="00CD1DC5" w:rsidP="00975A7A">
      <w:r>
        <w:separator/>
      </w:r>
    </w:p>
  </w:endnote>
  <w:endnote w:type="continuationSeparator" w:id="0">
    <w:p w:rsidR="00CD1DC5" w:rsidRDefault="00CD1DC5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altName w:val="Calibri"/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C5" w:rsidRDefault="00CD1DC5" w:rsidP="00975A7A">
      <w:r>
        <w:separator/>
      </w:r>
    </w:p>
  </w:footnote>
  <w:footnote w:type="continuationSeparator" w:id="0">
    <w:p w:rsidR="00CD1DC5" w:rsidRDefault="00CD1DC5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CD1DC5" w:rsidRDefault="0003240A">
        <w:pPr>
          <w:pStyle w:val="a6"/>
          <w:jc w:val="center"/>
        </w:pPr>
        <w:fldSimple w:instr=" PAGE   \* MERGEFORMAT ">
          <w:r w:rsidR="00E244D0">
            <w:rPr>
              <w:noProof/>
            </w:rPr>
            <w:t>2</w:t>
          </w:r>
        </w:fldSimple>
      </w:p>
    </w:sdtContent>
  </w:sdt>
  <w:p w:rsidR="00CD1DC5" w:rsidRDefault="00CD1D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3240A"/>
    <w:rsid w:val="000510CD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A5ED6"/>
    <w:rsid w:val="000B59E1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6C3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157D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1512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4E0A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83CDE"/>
    <w:rsid w:val="003942EE"/>
    <w:rsid w:val="00394715"/>
    <w:rsid w:val="003A0F70"/>
    <w:rsid w:val="003A1AB1"/>
    <w:rsid w:val="003A728B"/>
    <w:rsid w:val="003C26DF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0786A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2529D"/>
    <w:rsid w:val="0043071B"/>
    <w:rsid w:val="004413D6"/>
    <w:rsid w:val="00442F2A"/>
    <w:rsid w:val="00443B92"/>
    <w:rsid w:val="00450CAF"/>
    <w:rsid w:val="00451B2C"/>
    <w:rsid w:val="00453581"/>
    <w:rsid w:val="00456AB9"/>
    <w:rsid w:val="004606A7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0FD4"/>
    <w:rsid w:val="0056183C"/>
    <w:rsid w:val="00566D7A"/>
    <w:rsid w:val="00567838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251D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413C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9F7B78"/>
    <w:rsid w:val="00A04E01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C50A7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137F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0A1E"/>
    <w:rsid w:val="00C216F8"/>
    <w:rsid w:val="00C2709F"/>
    <w:rsid w:val="00C30DB9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1DC5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244D0"/>
    <w:rsid w:val="00E36568"/>
    <w:rsid w:val="00E42E18"/>
    <w:rsid w:val="00E4318A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3990"/>
    <w:rsid w:val="00FA51E2"/>
    <w:rsid w:val="00FA640D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740FCE3H3I" TargetMode="External"/><Relationship Id="rId50" Type="http://schemas.openxmlformats.org/officeDocument/2006/relationships/hyperlink" Target="consultantplus://offline/ref=359AFAA8845612A4510675BA83010FB1058A90E65D7235F4DE3DA70D209F0F2C43D4252CED4EDDC24748FFE3H2I" TargetMode="External"/><Relationship Id="rId55" Type="http://schemas.openxmlformats.org/officeDocument/2006/relationships/hyperlink" Target="consultantplus://offline/ref=359AFAA8845612A4510675BA83010FB1058A90E65D7235F4DE3DA70D209F0F2C43D4252CED4EDDC24744F9E3HAI" TargetMode="External"/><Relationship Id="rId63" Type="http://schemas.openxmlformats.org/officeDocument/2006/relationships/image" Target="media/image5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740FCE3H3I" TargetMode="External"/><Relationship Id="rId58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6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75BA83010FB1058A90E65D7235F4DE3DA70D209F0F2C43D4252CED4EDDC24742FEE3H4I" TargetMode="External"/><Relationship Id="rId57" Type="http://schemas.openxmlformats.org/officeDocument/2006/relationships/hyperlink" Target="consultantplus://offline/ref=359AFAA8845612A4510675BA83010FB1058A90E65D7235F4DE3DA70D209F0F2C43D4252CED4EDDC24748FFE3H2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9F9E3HA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6BB7956D55BD0383C7E85B773FAB8162FC5077E9H6I" TargetMode="External"/><Relationship Id="rId56" Type="http://schemas.openxmlformats.org/officeDocument/2006/relationships/hyperlink" Target="consultantplus://offline/ref=A493DD6D2F5A5A6A72084097F806D21BE236DBAEE2BEC6C8B3A30893491443A7456CD6142AB59FC8AD8434j923N" TargetMode="External"/><Relationship Id="rId64" Type="http://schemas.openxmlformats.org/officeDocument/2006/relationships/image" Target="media/image6.wmf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9F9E3HAI" TargetMode="External"/><Relationship Id="rId59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2FEE3H4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B8EDA-1AA1-4921-A110-CFA17EFF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52</Pages>
  <Words>17835</Words>
  <Characters>101665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8</cp:revision>
  <cp:lastPrinted>2016-04-01T11:29:00Z</cp:lastPrinted>
  <dcterms:created xsi:type="dcterms:W3CDTF">2022-11-02T14:49:00Z</dcterms:created>
  <dcterms:modified xsi:type="dcterms:W3CDTF">2023-03-17T10:11:00Z</dcterms:modified>
</cp:coreProperties>
</file>