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40" w:lineRule="auto"/>
        <w:ind w:firstLine="0" w:left="510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отчё</w:t>
      </w:r>
      <w:r>
        <w:rPr>
          <w:rFonts w:ascii="Times New Roman" w:hAnsi="Times New Roman"/>
          <w:sz w:val="24"/>
        </w:rPr>
        <w:t>ту</w:t>
      </w:r>
      <w:r>
        <w:rPr>
          <w:rFonts w:ascii="Times New Roman" w:hAnsi="Times New Roman"/>
          <w:sz w:val="24"/>
        </w:rPr>
        <w:t xml:space="preserve"> о ходе </w:t>
      </w:r>
      <w:r>
        <w:rPr>
          <w:rFonts w:ascii="Times New Roman" w:hAnsi="Times New Roman"/>
          <w:sz w:val="24"/>
        </w:rPr>
        <w:t>реализации и оценке эффективности</w:t>
      </w:r>
      <w:r>
        <w:rPr>
          <w:rFonts w:ascii="Times New Roman" w:hAnsi="Times New Roman"/>
          <w:sz w:val="24"/>
        </w:rPr>
        <w:t xml:space="preserve">  государственной программы                                                                                                                                                              </w:t>
      </w:r>
    </w:p>
    <w:p w14:paraId="02000000">
      <w:pPr>
        <w:pStyle w:val="Style_1"/>
        <w:widowControl w:val="0"/>
        <w:ind w:firstLine="0" w:left="0"/>
        <w:jc w:val="center"/>
      </w:pPr>
    </w:p>
    <w:p w14:paraId="03000000">
      <w:pPr>
        <w:pStyle w:val="Style_1"/>
        <w:widowControl w:val="0"/>
        <w:ind w:firstLine="0" w:left="0"/>
        <w:jc w:val="center"/>
      </w:pPr>
      <w:r>
        <w:t>Оценка эффективности реализации государственной программы Курской области</w:t>
      </w:r>
    </w:p>
    <w:p w14:paraId="04000000">
      <w:pPr>
        <w:pStyle w:val="Style_1"/>
        <w:widowControl w:val="0"/>
        <w:ind w:firstLine="0" w:left="0"/>
        <w:jc w:val="center"/>
        <w:rPr>
          <w:u w:val="single"/>
        </w:rPr>
      </w:pPr>
      <w:r>
        <w:rPr>
          <w:u w:val="single"/>
        </w:rPr>
        <w:t>«Развитие архивного дела в Курской области»</w:t>
      </w:r>
    </w:p>
    <w:p w14:paraId="05000000">
      <w:pPr>
        <w:pStyle w:val="Style_1"/>
        <w:widowControl w:val="0"/>
        <w:ind w:firstLine="0" w:left="0"/>
        <w:jc w:val="center"/>
        <w:rPr>
          <w:u w:val="none"/>
        </w:rPr>
      </w:pPr>
      <w:r>
        <w:rPr>
          <w:u w:val="none"/>
        </w:rPr>
        <w:t>за 2025 год</w:t>
      </w:r>
    </w:p>
    <w:p w14:paraId="06000000">
      <w:pPr>
        <w:pStyle w:val="Style_1"/>
        <w:widowControl w:val="0"/>
        <w:ind w:firstLine="0" w:left="0"/>
        <w:jc w:val="center"/>
        <w:rPr>
          <w:u w:val="single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87"/>
        <w:gridCol w:w="1920"/>
      </w:tblGrid>
      <w:tr>
        <w:trPr>
          <w:trHeight w:hRule="atLeast" w:val="360"/>
        </w:trPr>
        <w:tc>
          <w:tcPr>
            <w:tcW w:type="dxa" w:w="96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0"/>
              <w:ind/>
              <w:jc w:val="center"/>
            </w:pPr>
            <w:r>
              <w:t>1 Оценка эффективности реализации проектной части государственной программы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ind/>
              <w:jc w:val="center"/>
            </w:pPr>
            <w:r>
              <w:t xml:space="preserve">1.1 Уровень достижения реализации мероприятий (результатов) проекта </w:t>
            </w:r>
          </w:p>
          <w:p w14:paraId="09000000">
            <w:pPr>
              <w:widowControl w:val="0"/>
              <w:ind/>
              <w:jc w:val="center"/>
            </w:pPr>
            <w:r>
              <w:t>УДмп - Мв/М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r>
              <w:t>-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ind/>
              <w:jc w:val="center"/>
            </w:pPr>
            <w:r>
              <w:t xml:space="preserve">1.2. Уровень соответствия фактических затрат из областного бюджета (с учетом межбюджетных трансфертов из федерального бюджета запланированному уровню затрат </w:t>
            </w:r>
          </w:p>
          <w:p w14:paraId="0C000000">
            <w:pPr>
              <w:widowControl w:val="0"/>
              <w:ind/>
              <w:jc w:val="center"/>
            </w:pPr>
            <w:r>
              <w:t>УСз</w:t>
            </w:r>
            <w:r>
              <w:rPr>
                <w:sz w:val="20"/>
              </w:rPr>
              <w:t>п</w:t>
            </w:r>
            <w:r>
              <w:t xml:space="preserve"> = Зф</w:t>
            </w:r>
            <w:r>
              <w:rPr>
                <w:sz w:val="20"/>
              </w:rPr>
              <w:t>п</w:t>
            </w:r>
            <w:r>
              <w:t>/Зп</w:t>
            </w:r>
            <w:r>
              <w:rPr>
                <w:sz w:val="20"/>
              </w:rPr>
              <w:t>п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r>
              <w:t>-</w:t>
            </w:r>
          </w:p>
        </w:tc>
      </w:tr>
      <w:tr>
        <w:trPr>
          <w:trHeight w:hRule="atLeast" w:val="275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0"/>
              <w:ind/>
              <w:jc w:val="center"/>
            </w:pPr>
            <w:r>
              <w:t xml:space="preserve">1.3. Эффективность использования средств областного бюджета (с учетом межбюджетных трансфертов из федерального бюджета) </w:t>
            </w:r>
          </w:p>
          <w:p w14:paraId="0F000000">
            <w:pPr>
              <w:widowControl w:val="0"/>
              <w:ind/>
              <w:jc w:val="center"/>
            </w:pPr>
            <w:r>
              <w:t>Эис</w:t>
            </w:r>
            <w:r>
              <w:rPr>
                <w:sz w:val="20"/>
              </w:rPr>
              <w:t>п</w:t>
            </w:r>
            <w:r>
              <w:t xml:space="preserve"> = УДмп/УСз</w:t>
            </w:r>
            <w:r>
              <w:rPr>
                <w:sz w:val="20"/>
              </w:rPr>
              <w:t>п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r>
              <w:t>-</w:t>
            </w:r>
          </w:p>
        </w:tc>
      </w:tr>
      <w:tr>
        <w:trPr>
          <w:trHeight w:hRule="atLeast" w:val="38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0"/>
              <w:ind/>
              <w:jc w:val="center"/>
            </w:pPr>
            <w:r>
              <w:t>1.4. Уровень достижения планового значения показателя проекта</w:t>
            </w:r>
          </w:p>
          <w:p w14:paraId="12000000">
            <w:pPr>
              <w:widowControl w:val="0"/>
              <w:ind/>
              <w:jc w:val="center"/>
            </w:pPr>
            <w:r>
              <w:t>УДпп = ЗПф/ЗПп</w:t>
            </w:r>
          </w:p>
          <w:p w14:paraId="13000000">
            <w:pPr>
              <w:widowControl w:val="0"/>
              <w:ind/>
              <w:jc w:val="center"/>
            </w:pPr>
            <w:r>
              <w:t>(или УДпп= ЗПп/ЗПф)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r>
              <w:t>-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0"/>
              <w:ind/>
              <w:jc w:val="center"/>
            </w:pPr>
            <w:r>
              <w:t>1.5. Уровень достижения показателей проекта</w:t>
            </w:r>
          </w:p>
          <w:p w14:paraId="16000000">
            <w:pPr>
              <w:widowControl w:val="0"/>
              <w:ind/>
              <w:jc w:val="center"/>
            </w:pPr>
            <w:r>
              <w:rPr>
                <w:sz w:val="20"/>
              </w:rPr>
              <w:t>N</w:t>
            </w:r>
            <w:r>
              <w:t xml:space="preserve">  </w:t>
            </w:r>
          </w:p>
          <w:p w14:paraId="17000000">
            <w:pPr>
              <w:widowControl w:val="0"/>
              <w:ind/>
              <w:jc w:val="center"/>
            </w:pPr>
            <w:r>
              <w:t xml:space="preserve">УДпп =  </w:t>
            </w:r>
            <w:r>
              <w:rPr>
                <w:rFonts w:ascii="Times New Roman" w:hAnsi="Times New Roman"/>
                <w:spacing w:val="0"/>
                <w:sz w:val="28"/>
              </w:rPr>
              <w:t>∑УДпп</w:t>
            </w:r>
            <w:r>
              <w:rPr>
                <w:rFonts w:ascii="Times New Roman" w:hAnsi="Times New Roman"/>
                <w:spacing w:val="0"/>
                <w:sz w:val="20"/>
              </w:rPr>
              <w:t>i</w:t>
            </w:r>
            <w:r>
              <w:rPr>
                <w:rFonts w:ascii="Times New Roman" w:hAnsi="Times New Roman"/>
                <w:spacing w:val="0"/>
                <w:sz w:val="28"/>
              </w:rPr>
              <w:t>/N</w:t>
            </w:r>
          </w:p>
          <w:p w14:paraId="18000000">
            <w:pPr>
              <w:widowControl w:val="0"/>
              <w:ind/>
              <w:jc w:val="center"/>
            </w:pPr>
            <w:r>
              <w:t xml:space="preserve">   </w:t>
            </w:r>
            <w:r>
              <w:rPr>
                <w:sz w:val="20"/>
              </w:rPr>
              <w:t>i=1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r>
              <w:t>-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0"/>
              <w:ind/>
              <w:jc w:val="center"/>
            </w:pPr>
            <w:r>
              <w:t>1.6. Уровень достижения реализации проекта</w:t>
            </w:r>
          </w:p>
          <w:p w14:paraId="1B000000">
            <w:pPr>
              <w:widowControl w:val="0"/>
              <w:ind/>
              <w:jc w:val="center"/>
            </w:pPr>
            <w:r>
              <w:t>УДп = УДпп х Эис</w:t>
            </w:r>
            <w:r>
              <w:rPr>
                <w:sz w:val="20"/>
              </w:rPr>
              <w:t>п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t>-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0"/>
              <w:ind/>
              <w:jc w:val="center"/>
            </w:pPr>
            <w:r>
              <w:t>1.7. Коэффициент значимости проекта в проектной части государственной программы</w:t>
            </w:r>
          </w:p>
          <w:p w14:paraId="1E000000">
            <w:pPr>
              <w:widowControl w:val="0"/>
              <w:ind/>
              <w:jc w:val="center"/>
            </w:pPr>
            <w:r>
              <w:t>К</w:t>
            </w:r>
            <w:r>
              <w:rPr>
                <w:sz w:val="20"/>
              </w:rPr>
              <w:t>i</w:t>
            </w:r>
            <w:r>
              <w:t xml:space="preserve"> = Ф</w:t>
            </w:r>
            <w:r>
              <w:rPr>
                <w:sz w:val="20"/>
              </w:rPr>
              <w:t>пi</w:t>
            </w:r>
            <w:r>
              <w:t>/Ф</w:t>
            </w:r>
            <w:r>
              <w:rPr>
                <w:sz w:val="20"/>
              </w:rPr>
              <w:t>пч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r>
              <w:t>-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0"/>
              <w:ind/>
              <w:jc w:val="center"/>
            </w:pPr>
            <w:r>
              <w:t xml:space="preserve">1.8. Уровень достижения реализации проектной части государственной программы </w:t>
            </w:r>
          </w:p>
          <w:p w14:paraId="21000000">
            <w:pPr>
              <w:widowControl w:val="0"/>
              <w:ind/>
              <w:jc w:val="center"/>
            </w:pPr>
            <w:r>
              <w:rPr>
                <w:sz w:val="20"/>
              </w:rPr>
              <w:t>N</w:t>
            </w:r>
            <w:r>
              <w:t xml:space="preserve">  </w:t>
            </w:r>
          </w:p>
          <w:p w14:paraId="22000000">
            <w:pPr>
              <w:widowControl w:val="0"/>
              <w:ind/>
              <w:jc w:val="center"/>
            </w:pPr>
            <w:r>
              <w:t xml:space="preserve">УДпч =  </w:t>
            </w:r>
            <w:r>
              <w:rPr>
                <w:rFonts w:ascii="Times New Roman" w:hAnsi="Times New Roman"/>
                <w:spacing w:val="0"/>
                <w:sz w:val="28"/>
              </w:rPr>
              <w:t>∑(УДп</w:t>
            </w:r>
            <w:r>
              <w:rPr>
                <w:rFonts w:ascii="Times New Roman" w:hAnsi="Times New Roman"/>
                <w:spacing w:val="0"/>
                <w:sz w:val="20"/>
              </w:rPr>
              <w:t>i</w:t>
            </w:r>
            <w:r>
              <w:rPr>
                <w:rFonts w:ascii="Times New Roman" w:hAnsi="Times New Roman"/>
                <w:spacing w:val="0"/>
                <w:sz w:val="28"/>
              </w:rPr>
              <w:t>/k</w:t>
            </w:r>
            <w:r>
              <w:rPr>
                <w:rFonts w:ascii="Times New Roman" w:hAnsi="Times New Roman"/>
                <w:spacing w:val="0"/>
                <w:sz w:val="28"/>
              </w:rPr>
              <w:t>)</w:t>
            </w:r>
          </w:p>
          <w:p w14:paraId="23000000">
            <w:pPr>
              <w:widowControl w:val="0"/>
              <w:ind/>
              <w:jc w:val="center"/>
            </w:pPr>
            <w:r>
              <w:t xml:space="preserve">  </w:t>
            </w:r>
            <w:r>
              <w:rPr>
                <w:sz w:val="20"/>
              </w:rPr>
              <w:t>i=1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r>
              <w:t>-</w:t>
            </w:r>
          </w:p>
        </w:tc>
      </w:tr>
      <w:tr>
        <w:trPr>
          <w:trHeight w:hRule="atLeast" w:val="360"/>
        </w:trPr>
        <w:tc>
          <w:tcPr>
            <w:tcW w:type="dxa" w:w="96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0"/>
              <w:ind/>
              <w:jc w:val="center"/>
            </w:pPr>
            <w:r>
              <w:t>2. Оценка эффективности реализации процессной части государственной программы</w:t>
            </w:r>
          </w:p>
        </w:tc>
      </w:tr>
      <w:tr>
        <w:trPr>
          <w:trHeight w:hRule="atLeast" w:val="360"/>
        </w:trPr>
        <w:tc>
          <w:tcPr>
            <w:tcW w:type="dxa" w:w="96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0"/>
              <w:ind/>
              <w:jc w:val="center"/>
            </w:pPr>
            <w:r>
              <w:t>2.1. Комплекс процессных мероприятий «Организация хранения, комплектования, учета и использования документов Архивного фонда Курской области и других архивных документов»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0"/>
              <w:ind/>
              <w:jc w:val="center"/>
            </w:pPr>
            <w:r>
              <w:t>2.1.1. Уровень достижения реализации мероприятий (результатов)комплекса процессных мероприятий</w:t>
            </w:r>
          </w:p>
          <w:p w14:paraId="28000000">
            <w:pPr>
              <w:widowControl w:val="0"/>
              <w:ind/>
              <w:jc w:val="center"/>
            </w:pPr>
            <w:r>
              <w:t>УДмкпм - Мв/М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r>
              <w:t>1</w:t>
            </w:r>
          </w:p>
        </w:tc>
      </w:tr>
      <w:tr>
        <w:trPr>
          <w:trHeight w:hRule="atLeast" w:val="297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0"/>
              <w:ind/>
              <w:jc w:val="center"/>
            </w:pPr>
            <w:r>
              <w:t xml:space="preserve">2.1.2. Уровень соответствия фактических затрат из областного бюджета (с учетом межбюджетных трансфертов из федерального бюджета запланированному уровню затрат </w:t>
            </w:r>
          </w:p>
          <w:p w14:paraId="2B000000">
            <w:pPr>
              <w:widowControl w:val="0"/>
              <w:ind/>
              <w:jc w:val="center"/>
            </w:pPr>
            <w:r>
              <w:t>УСз</w:t>
            </w:r>
            <w:r>
              <w:rPr>
                <w:sz w:val="20"/>
              </w:rPr>
              <w:t>кпм</w:t>
            </w:r>
            <w:r>
              <w:t xml:space="preserve"> = Зф</w:t>
            </w:r>
            <w:r>
              <w:rPr>
                <w:sz w:val="20"/>
              </w:rPr>
              <w:t>кпм</w:t>
            </w:r>
            <w:r>
              <w:t>/Зп</w:t>
            </w:r>
            <w:r>
              <w:rPr>
                <w:sz w:val="20"/>
              </w:rPr>
              <w:t>п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r>
              <w:t>1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0"/>
              <w:ind/>
              <w:jc w:val="center"/>
            </w:pPr>
            <w:r>
              <w:t xml:space="preserve">2.1.3. Эффективность использования средств областного бюджета (с учетом межбюджетных трансфертов из федерального бюджета) </w:t>
            </w:r>
          </w:p>
          <w:p w14:paraId="2E000000">
            <w:pPr>
              <w:widowControl w:val="0"/>
              <w:ind/>
              <w:jc w:val="center"/>
            </w:pPr>
            <w:r>
              <w:t>Эис</w:t>
            </w:r>
            <w:r>
              <w:rPr>
                <w:sz w:val="20"/>
              </w:rPr>
              <w:t>кпм</w:t>
            </w:r>
            <w:r>
              <w:t xml:space="preserve"> = УДмкпм/УСз</w:t>
            </w:r>
            <w:r>
              <w:rPr>
                <w:sz w:val="20"/>
              </w:rPr>
              <w:t>кпм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r>
              <w:t>1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0"/>
              <w:ind/>
              <w:jc w:val="center"/>
            </w:pPr>
            <w:r>
              <w:t>2.1.4. Уровень достижения планового значения показателя комплекса процессных мероприятий</w:t>
            </w:r>
          </w:p>
          <w:p w14:paraId="31000000">
            <w:pPr>
              <w:widowControl w:val="0"/>
              <w:ind/>
              <w:jc w:val="center"/>
            </w:pPr>
            <w:r>
              <w:t>УДп = ЗПф/ЗПп</w:t>
            </w:r>
          </w:p>
          <w:p w14:paraId="32000000">
            <w:pPr>
              <w:widowControl w:val="0"/>
              <w:ind/>
              <w:jc w:val="center"/>
            </w:pPr>
            <w:r>
              <w:t>(или УДп= ЗПп/ЗПф)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r>
              <w:t>1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0"/>
              <w:ind/>
              <w:jc w:val="center"/>
            </w:pPr>
            <w:r>
              <w:t>2.1.5. Уровень достижения показателей комплекса процессных мероприятий</w:t>
            </w:r>
          </w:p>
          <w:p w14:paraId="35000000">
            <w:pPr>
              <w:widowControl w:val="0"/>
              <w:ind/>
              <w:jc w:val="center"/>
            </w:pPr>
            <w:r>
              <w:t xml:space="preserve">       </w:t>
            </w:r>
            <w:r>
              <w:rPr>
                <w:sz w:val="20"/>
              </w:rPr>
              <w:t>N</w:t>
            </w:r>
            <w:r>
              <w:t xml:space="preserve">  </w:t>
            </w:r>
          </w:p>
          <w:p w14:paraId="36000000">
            <w:pPr>
              <w:widowControl w:val="0"/>
              <w:ind/>
              <w:jc w:val="center"/>
            </w:pPr>
            <w:r>
              <w:t xml:space="preserve">УДпкпм =  </w:t>
            </w:r>
            <w:r>
              <w:rPr>
                <w:rFonts w:ascii="Times New Roman" w:hAnsi="Times New Roman"/>
                <w:spacing w:val="0"/>
                <w:sz w:val="28"/>
              </w:rPr>
              <w:t>∑УДп</w:t>
            </w:r>
            <w:r>
              <w:rPr>
                <w:rFonts w:ascii="Times New Roman" w:hAnsi="Times New Roman"/>
                <w:spacing w:val="0"/>
                <w:sz w:val="20"/>
              </w:rPr>
              <w:t>i</w:t>
            </w:r>
            <w:r>
              <w:rPr>
                <w:rFonts w:ascii="Times New Roman" w:hAnsi="Times New Roman"/>
                <w:spacing w:val="0"/>
                <w:sz w:val="28"/>
              </w:rPr>
              <w:t>/N</w:t>
            </w:r>
          </w:p>
          <w:p w14:paraId="37000000">
            <w:pPr>
              <w:widowControl w:val="0"/>
              <w:ind/>
              <w:jc w:val="center"/>
            </w:pPr>
            <w:r>
              <w:t xml:space="preserve">         </w:t>
            </w:r>
            <w:r>
              <w:rPr>
                <w:sz w:val="20"/>
              </w:rPr>
              <w:t>i=1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r>
              <w:t>1</w:t>
            </w:r>
          </w:p>
        </w:tc>
      </w:tr>
      <w:tr>
        <w:trPr>
          <w:trHeight w:hRule="atLeast" w:val="928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0"/>
              <w:ind/>
              <w:jc w:val="center"/>
            </w:pPr>
            <w:r>
              <w:t>2.1.6. Уровень достижения реализации комплекса процессных мероприятий</w:t>
            </w:r>
          </w:p>
          <w:p w14:paraId="3A000000">
            <w:pPr>
              <w:widowControl w:val="0"/>
              <w:ind/>
              <w:jc w:val="center"/>
            </w:pPr>
            <w:r>
              <w:t>УДкпм = УДпкпм х Эис</w:t>
            </w:r>
            <w:r>
              <w:rPr>
                <w:sz w:val="20"/>
              </w:rPr>
              <w:t>кпм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r>
              <w:t>1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0"/>
              <w:ind/>
              <w:jc w:val="center"/>
            </w:pPr>
            <w:r>
              <w:t>2.1.7. Коэффициент значимости комплекса процессных мероприятий в процессной части государственной программы</w:t>
            </w:r>
          </w:p>
          <w:p w14:paraId="3D000000">
            <w:pPr>
              <w:widowControl w:val="0"/>
              <w:ind/>
              <w:jc w:val="center"/>
            </w:pPr>
            <w:r>
              <w:t>К</w:t>
            </w:r>
            <w:r>
              <w:rPr>
                <w:sz w:val="20"/>
              </w:rPr>
              <w:t>j</w:t>
            </w:r>
            <w:r>
              <w:t xml:space="preserve"> = Ф</w:t>
            </w:r>
            <w:r>
              <w:rPr>
                <w:sz w:val="20"/>
              </w:rPr>
              <w:t>j</w:t>
            </w:r>
            <w:r>
              <w:t>/Ф</w:t>
            </w:r>
            <w:r>
              <w:rPr>
                <w:sz w:val="20"/>
              </w:rPr>
              <w:t>прцч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r>
              <w:t>0,91</w:t>
            </w:r>
          </w:p>
        </w:tc>
      </w:tr>
      <w:tr>
        <w:trPr>
          <w:trHeight w:hRule="atLeast" w:val="360"/>
        </w:trPr>
        <w:tc>
          <w:tcPr>
            <w:tcW w:type="dxa" w:w="96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0"/>
              <w:ind/>
              <w:jc w:val="center"/>
            </w:pPr>
            <w:r>
              <w:t>2.2. Комплекс процессных мероприятий «Обеспечение условий для реализации государственной программы Курской области «Развитие архивного дела в Курской области»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0"/>
              <w:ind/>
              <w:jc w:val="center"/>
            </w:pPr>
            <w:r>
              <w:t>2.2.1. Уровень достижения реализации мероприятий (результатов)комплекса процессных мероприятий</w:t>
            </w:r>
          </w:p>
          <w:p w14:paraId="41000000">
            <w:pPr>
              <w:widowControl w:val="0"/>
              <w:ind/>
              <w:jc w:val="center"/>
            </w:pPr>
            <w:r>
              <w:t>УДмкпм - Мв/М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r>
              <w:t>1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0"/>
              <w:ind/>
              <w:jc w:val="center"/>
            </w:pPr>
            <w:r>
              <w:t xml:space="preserve">2.2.2. Уровень соответствия фактических затрат из областного бюджета (с учетом межбюджетных трансфертов из федерального бюджета запланированному уровню затрат </w:t>
            </w:r>
          </w:p>
          <w:p w14:paraId="44000000">
            <w:pPr>
              <w:widowControl w:val="0"/>
              <w:ind/>
              <w:jc w:val="center"/>
            </w:pPr>
            <w:r>
              <w:t>УСз</w:t>
            </w:r>
            <w:r>
              <w:rPr>
                <w:sz w:val="20"/>
              </w:rPr>
              <w:t>кпм</w:t>
            </w:r>
            <w:r>
              <w:t xml:space="preserve"> = Зф</w:t>
            </w:r>
            <w:r>
              <w:rPr>
                <w:sz w:val="20"/>
              </w:rPr>
              <w:t>кпм</w:t>
            </w:r>
            <w:r>
              <w:t>/Зп</w:t>
            </w:r>
            <w:r>
              <w:rPr>
                <w:sz w:val="20"/>
              </w:rPr>
              <w:t>п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r>
              <w:t>1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0"/>
              <w:ind/>
              <w:jc w:val="center"/>
            </w:pPr>
            <w:r>
              <w:t xml:space="preserve">2.2.3. Эффективность использования средств областного бюджета (с учетом межбюджетных трансфертов из федерального бюджета) </w:t>
            </w:r>
          </w:p>
          <w:p w14:paraId="47000000">
            <w:pPr>
              <w:widowControl w:val="0"/>
              <w:ind/>
              <w:jc w:val="center"/>
            </w:pPr>
            <w:r>
              <w:t>Эис</w:t>
            </w:r>
            <w:r>
              <w:rPr>
                <w:sz w:val="20"/>
              </w:rPr>
              <w:t>кпм</w:t>
            </w:r>
            <w:r>
              <w:t xml:space="preserve"> = УДмкпм/УСз</w:t>
            </w:r>
            <w:r>
              <w:rPr>
                <w:sz w:val="20"/>
              </w:rPr>
              <w:t>кпм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r>
              <w:t>1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ind/>
              <w:jc w:val="center"/>
            </w:pPr>
            <w:r>
              <w:t>2.2.4. Уровень достижения планового значения показателя комплекса процессных мероприятий</w:t>
            </w:r>
          </w:p>
          <w:p w14:paraId="4A000000">
            <w:pPr>
              <w:widowControl w:val="0"/>
              <w:ind/>
              <w:jc w:val="center"/>
            </w:pPr>
            <w:r>
              <w:t>УДп = ЗПф/ЗПп</w:t>
            </w:r>
          </w:p>
          <w:p w14:paraId="4B000000">
            <w:pPr>
              <w:widowControl w:val="0"/>
              <w:ind/>
              <w:jc w:val="center"/>
            </w:pPr>
            <w:r>
              <w:t>(или УДп= ЗПп/ЗПф)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r>
              <w:t>1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0"/>
              <w:ind/>
              <w:jc w:val="center"/>
            </w:pPr>
            <w:r>
              <w:t>2.2.5. Уровень достижения показателей комплекса процессных мероприятий</w:t>
            </w:r>
          </w:p>
          <w:p w14:paraId="4E000000">
            <w:pPr>
              <w:widowControl w:val="0"/>
              <w:ind/>
              <w:jc w:val="center"/>
            </w:pPr>
            <w:r>
              <w:t xml:space="preserve">       </w:t>
            </w:r>
            <w:r>
              <w:rPr>
                <w:sz w:val="20"/>
              </w:rPr>
              <w:t>N</w:t>
            </w:r>
            <w:r>
              <w:t xml:space="preserve">  </w:t>
            </w:r>
          </w:p>
          <w:p w14:paraId="4F000000">
            <w:pPr>
              <w:widowControl w:val="0"/>
              <w:ind/>
              <w:jc w:val="center"/>
            </w:pPr>
            <w:r>
              <w:t xml:space="preserve">УДпкпм =  </w:t>
            </w:r>
            <w:r>
              <w:rPr>
                <w:rFonts w:ascii="Times New Roman" w:hAnsi="Times New Roman"/>
                <w:spacing w:val="0"/>
                <w:sz w:val="28"/>
              </w:rPr>
              <w:t>∑УДп</w:t>
            </w:r>
            <w:r>
              <w:rPr>
                <w:rFonts w:ascii="Times New Roman" w:hAnsi="Times New Roman"/>
                <w:spacing w:val="0"/>
                <w:sz w:val="20"/>
              </w:rPr>
              <w:t>i</w:t>
            </w:r>
            <w:r>
              <w:rPr>
                <w:rFonts w:ascii="Times New Roman" w:hAnsi="Times New Roman"/>
                <w:spacing w:val="0"/>
                <w:sz w:val="28"/>
              </w:rPr>
              <w:t>/N</w:t>
            </w:r>
          </w:p>
          <w:p w14:paraId="50000000">
            <w:pPr>
              <w:widowControl w:val="0"/>
              <w:ind/>
              <w:jc w:val="center"/>
            </w:pPr>
            <w:r>
              <w:t xml:space="preserve">         </w:t>
            </w:r>
            <w:r>
              <w:rPr>
                <w:sz w:val="20"/>
              </w:rPr>
              <w:t>i=1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r>
              <w:t>1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0"/>
              <w:ind/>
              <w:jc w:val="center"/>
            </w:pPr>
            <w:r>
              <w:t>2.2.6. Уровень достижения реализации комплекса процессных мероприятий</w:t>
            </w:r>
          </w:p>
          <w:p w14:paraId="53000000">
            <w:pPr>
              <w:widowControl w:val="0"/>
              <w:ind/>
              <w:jc w:val="center"/>
            </w:pPr>
            <w:r>
              <w:t>УДкпм = УДпкпм х Эис</w:t>
            </w:r>
            <w:r>
              <w:rPr>
                <w:sz w:val="20"/>
              </w:rPr>
              <w:t>кпм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r>
              <w:t>1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0"/>
              <w:ind/>
              <w:jc w:val="center"/>
            </w:pPr>
            <w:r>
              <w:t>2.2.7. Коэффициент значимости комплекса процессных мероприятий в процессной части государственной программы</w:t>
            </w:r>
          </w:p>
          <w:p w14:paraId="56000000">
            <w:pPr>
              <w:widowControl w:val="0"/>
              <w:ind/>
              <w:jc w:val="center"/>
            </w:pPr>
            <w:r>
              <w:t>К</w:t>
            </w:r>
            <w:r>
              <w:rPr>
                <w:sz w:val="20"/>
              </w:rPr>
              <w:t>j</w:t>
            </w:r>
            <w:r>
              <w:t xml:space="preserve"> = Ф</w:t>
            </w:r>
            <w:r>
              <w:rPr>
                <w:sz w:val="20"/>
              </w:rPr>
              <w:t>j</w:t>
            </w:r>
            <w:r>
              <w:t>/Ф</w:t>
            </w:r>
            <w:r>
              <w:rPr>
                <w:sz w:val="20"/>
              </w:rPr>
              <w:t>прцч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r>
              <w:t>0,09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0"/>
              <w:ind/>
              <w:jc w:val="center"/>
            </w:pPr>
            <w:r>
              <w:t xml:space="preserve">2.3. Уровень достижения реализации процессной части государственной программы </w:t>
            </w:r>
          </w:p>
          <w:p w14:paraId="59000000">
            <w:pPr>
              <w:widowControl w:val="0"/>
              <w:ind/>
              <w:jc w:val="center"/>
            </w:pPr>
            <w:r>
              <w:rPr>
                <w:sz w:val="20"/>
              </w:rPr>
              <w:t>N</w:t>
            </w:r>
            <w:r>
              <w:t xml:space="preserve">  </w:t>
            </w:r>
          </w:p>
          <w:p w14:paraId="5A000000">
            <w:pPr>
              <w:widowControl w:val="0"/>
              <w:ind/>
              <w:jc w:val="center"/>
            </w:pPr>
            <w:r>
              <w:t xml:space="preserve">УДпрцч =  </w:t>
            </w:r>
            <w:r>
              <w:rPr>
                <w:rFonts w:ascii="Times New Roman" w:hAnsi="Times New Roman"/>
                <w:spacing w:val="0"/>
                <w:sz w:val="28"/>
              </w:rPr>
              <w:t>∑(УДкпм</w:t>
            </w:r>
            <w:r>
              <w:rPr>
                <w:rFonts w:ascii="Times New Roman" w:hAnsi="Times New Roman"/>
                <w:spacing w:val="0"/>
                <w:sz w:val="20"/>
              </w:rPr>
              <w:t>j</w:t>
            </w:r>
            <w:r>
              <w:rPr>
                <w:rFonts w:ascii="Times New Roman" w:hAnsi="Times New Roman"/>
                <w:spacing w:val="0"/>
                <w:sz w:val="28"/>
              </w:rPr>
              <w:t xml:space="preserve"> х </w:t>
            </w:r>
            <w:r>
              <w:rPr>
                <w:rFonts w:ascii="Times New Roman" w:hAnsi="Times New Roman"/>
                <w:spacing w:val="0"/>
                <w:sz w:val="28"/>
              </w:rPr>
              <w:t>k</w:t>
            </w:r>
            <w:r>
              <w:rPr>
                <w:rFonts w:ascii="Times New Roman" w:hAnsi="Times New Roman"/>
                <w:spacing w:val="0"/>
                <w:sz w:val="20"/>
              </w:rPr>
              <w:t>j</w:t>
            </w:r>
            <w:r>
              <w:rPr>
                <w:rFonts w:ascii="Times New Roman" w:hAnsi="Times New Roman"/>
                <w:spacing w:val="0"/>
                <w:sz w:val="28"/>
              </w:rPr>
              <w:t>)</w:t>
            </w:r>
          </w:p>
          <w:p w14:paraId="5B000000">
            <w:pPr>
              <w:widowControl w:val="0"/>
              <w:ind/>
              <w:jc w:val="center"/>
            </w:pPr>
            <w:r>
              <w:rPr>
                <w:sz w:val="20"/>
              </w:rPr>
              <w:t>j=1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r>
              <w:t>1</w:t>
            </w:r>
          </w:p>
        </w:tc>
      </w:tr>
      <w:tr>
        <w:trPr>
          <w:trHeight w:hRule="atLeast" w:val="360"/>
        </w:trPr>
        <w:tc>
          <w:tcPr>
            <w:tcW w:type="dxa" w:w="96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0"/>
              <w:ind/>
              <w:jc w:val="center"/>
            </w:pPr>
            <w:r>
              <w:t>3. Оценка эффективности реализации государственной программы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0"/>
              <w:ind/>
              <w:jc w:val="center"/>
            </w:pPr>
            <w:r>
              <w:t>3.1. Уровень достижения планового значения показателя государственной программы</w:t>
            </w:r>
          </w:p>
          <w:p w14:paraId="5F000000">
            <w:pPr>
              <w:widowControl w:val="0"/>
              <w:ind/>
              <w:jc w:val="center"/>
            </w:pPr>
            <w:r>
              <w:t>УДпгп = ЗПгпф/ЗПгп</w:t>
            </w:r>
          </w:p>
          <w:p w14:paraId="60000000">
            <w:pPr>
              <w:widowControl w:val="0"/>
              <w:ind/>
              <w:jc w:val="center"/>
            </w:pPr>
            <w:r>
              <w:t>(или УДпгп= ЗПгпп/ЗПгпф)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r>
              <w:t>1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0"/>
              <w:ind/>
              <w:jc w:val="center"/>
            </w:pPr>
            <w:r>
              <w:t>3.2. Уровень достижения показателей государственной программы</w:t>
            </w:r>
          </w:p>
          <w:p w14:paraId="63000000">
            <w:pPr>
              <w:widowControl w:val="0"/>
              <w:ind/>
              <w:jc w:val="center"/>
            </w:pPr>
            <w:r>
              <w:t xml:space="preserve">   М  </w:t>
            </w:r>
          </w:p>
          <w:p w14:paraId="64000000">
            <w:pPr>
              <w:widowControl w:val="0"/>
              <w:ind/>
              <w:jc w:val="center"/>
            </w:pPr>
            <w:r>
              <w:t xml:space="preserve">УДПгп =  </w:t>
            </w:r>
            <w:r>
              <w:rPr>
                <w:rFonts w:ascii="Times New Roman" w:hAnsi="Times New Roman"/>
                <w:spacing w:val="0"/>
                <w:sz w:val="28"/>
              </w:rPr>
              <w:t>∑УДпгп</w:t>
            </w:r>
            <w:r>
              <w:rPr>
                <w:rFonts w:ascii="Times New Roman" w:hAnsi="Times New Roman"/>
                <w:spacing w:val="0"/>
                <w:sz w:val="20"/>
              </w:rPr>
              <w:t>i</w:t>
            </w:r>
            <w:r>
              <w:rPr>
                <w:rFonts w:ascii="Times New Roman" w:hAnsi="Times New Roman"/>
                <w:spacing w:val="0"/>
                <w:sz w:val="28"/>
              </w:rPr>
              <w:t>/М</w:t>
            </w:r>
          </w:p>
          <w:p w14:paraId="65000000">
            <w:pPr>
              <w:widowControl w:val="0"/>
              <w:ind/>
              <w:jc w:val="center"/>
            </w:pPr>
            <w:r>
              <w:t xml:space="preserve">   </w:t>
            </w:r>
            <w:r>
              <w:rPr>
                <w:sz w:val="20"/>
              </w:rPr>
              <w:t>i=1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r>
              <w:t>1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0"/>
              <w:ind/>
              <w:jc w:val="center"/>
            </w:pPr>
            <w:r>
              <w:t>3.3. Коэффициент значимости  проектной части государственной программы</w:t>
            </w:r>
          </w:p>
          <w:p w14:paraId="68000000">
            <w:pPr>
              <w:widowControl w:val="0"/>
              <w:ind/>
              <w:jc w:val="center"/>
            </w:pPr>
            <w:r>
              <w:t>К</w:t>
            </w:r>
            <w:r>
              <w:rPr>
                <w:sz w:val="20"/>
              </w:rPr>
              <w:t>пч</w:t>
            </w:r>
            <w:r>
              <w:t xml:space="preserve"> = Ф</w:t>
            </w:r>
            <w:r>
              <w:rPr>
                <w:sz w:val="20"/>
              </w:rPr>
              <w:t>пч</w:t>
            </w:r>
            <w:r>
              <w:t>/Ф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r>
              <w:t>-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0"/>
              <w:ind/>
              <w:jc w:val="center"/>
            </w:pPr>
            <w:r>
              <w:t>3.4. Коэффициент значимости процессной части для достижения целей государственной программы</w:t>
            </w:r>
          </w:p>
          <w:p w14:paraId="6B000000">
            <w:pPr>
              <w:widowControl w:val="0"/>
              <w:ind/>
              <w:jc w:val="center"/>
            </w:pPr>
            <w:r>
              <w:t>К</w:t>
            </w:r>
            <w:r>
              <w:rPr>
                <w:sz w:val="20"/>
              </w:rPr>
              <w:t>прцч</w:t>
            </w:r>
            <w:r>
              <w:t xml:space="preserve"> = Ф</w:t>
            </w:r>
            <w:r>
              <w:rPr>
                <w:sz w:val="20"/>
              </w:rPr>
              <w:t>прцч</w:t>
            </w:r>
            <w:r>
              <w:t>/Ф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r>
              <w:t>1</w:t>
            </w:r>
          </w:p>
        </w:tc>
      </w:tr>
      <w:tr>
        <w:trPr>
          <w:trHeight w:hRule="atLeast" w:val="360"/>
        </w:trPr>
        <w:tc>
          <w:tcPr>
            <w:tcW w:type="dxa" w:w="7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0"/>
              <w:ind/>
              <w:jc w:val="center"/>
            </w:pPr>
            <w:r>
              <w:t xml:space="preserve">3.5. Уровень достижения реализации государственной программы </w:t>
            </w:r>
          </w:p>
          <w:p w14:paraId="6E000000">
            <w:pPr>
              <w:widowControl w:val="0"/>
              <w:ind/>
              <w:jc w:val="center"/>
            </w:pPr>
            <w:r>
              <w:t xml:space="preserve"> </w:t>
            </w:r>
            <w:r>
              <w:t xml:space="preserve">УДгп =  </w:t>
            </w:r>
            <w:r>
              <w:rPr>
                <w:rFonts w:ascii="Times New Roman" w:hAnsi="Times New Roman"/>
                <w:spacing w:val="0"/>
                <w:sz w:val="28"/>
              </w:rPr>
              <w:t>0,5 х УДПгп + 0.5 х (УДпч х k</w:t>
            </w:r>
            <w:r>
              <w:rPr>
                <w:rFonts w:ascii="Times New Roman" w:hAnsi="Times New Roman"/>
                <w:spacing w:val="0"/>
                <w:sz w:val="20"/>
              </w:rPr>
              <w:t>пч</w:t>
            </w:r>
            <w:r>
              <w:rPr>
                <w:rFonts w:ascii="Times New Roman" w:hAnsi="Times New Roman"/>
                <w:spacing w:val="0"/>
                <w:sz w:val="28"/>
              </w:rPr>
              <w:t xml:space="preserve"> +УДпрцч х k</w:t>
            </w:r>
            <w:r>
              <w:rPr>
                <w:rFonts w:ascii="Times New Roman" w:hAnsi="Times New Roman"/>
                <w:spacing w:val="0"/>
                <w:sz w:val="20"/>
              </w:rPr>
              <w:t>прцч)</w:t>
            </w:r>
            <w:r>
              <w:t xml:space="preserve"> 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r>
              <w:t>1</w:t>
            </w:r>
          </w:p>
        </w:tc>
      </w:tr>
    </w:tbl>
    <w:p w14:paraId="70000000">
      <w:pPr>
        <w:pStyle w:val="Style_1"/>
        <w:widowControl w:val="0"/>
        <w:ind w:firstLine="0" w:left="0"/>
        <w:jc w:val="center"/>
        <w:rPr>
          <w:u w:val="single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2025-02-28T11:18:18Z</dcterms:created>
  <dcterms:modified xsi:type="dcterms:W3CDTF">2026-02-25T07:58:48Z</dcterms:modified>
</cp:coreProperties>
</file>