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D2" w:rsidRPr="005A1AD2" w:rsidRDefault="003B258E" w:rsidP="003B25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</w:t>
      </w:r>
      <w:r w:rsidR="00914339" w:rsidRPr="005A1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14339" w:rsidRPr="005A1AD2" w:rsidRDefault="003B258E" w:rsidP="003B258E">
      <w:pPr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</w:t>
      </w:r>
      <w:r w:rsidR="00914339" w:rsidRPr="005A1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иностранного работника</w:t>
      </w:r>
    </w:p>
    <w:p w:rsidR="005A1AD2" w:rsidRDefault="00914339" w:rsidP="005A1AD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Нормы законодательства о порядке заключения </w:t>
      </w:r>
    </w:p>
    <w:p w:rsidR="005A1AD2" w:rsidRPr="005A1AD2" w:rsidRDefault="003B258E" w:rsidP="003B258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914339"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прекращения трудового договора</w:t>
      </w:r>
      <w:r w:rsidR="00914339" w:rsidRPr="005A1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A1AD2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правового регулирования труда иностранных граждан составляют Трудовой кодекс Российской Федерации и Федеральный закон от 25.07.2002 № 115-ФЗ «О правовом положении иностранных граждан в Российской Федерации» (далее – ТК РФ и Закон № 115-ФЗ).</w:t>
      </w:r>
    </w:p>
    <w:p w:rsidR="005A1AD2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13 ТК РФ действие трудового законодательства распространяется на территорию РФ.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Закона № 115-ФЗ действие данного закона распространяется только на иностранцев, находящихся на территории РФ.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Правовой статус иностранного гражданина при осуществлении трудовой деятельности зависит от режима его пребывания (проживания) в РФ и порядка въезда на территорию РФ. В зависимости от режима пребывания (проживания) иностранных граждан можно разделить на постоянно или временно проживающих на территории РФ и временно пребывающих на территории РФ, что следует из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 10, 11, 12 п. 1 ст. 2 Закона № 115-ФЗ. Иностранные граждане могут въезжать в РФ на основании визы или в безвизовом порядке. Временно пребывающий в Российской Федерации иностранный гражданин ‒ лицо, прибывшее в Российскую Федерацию на основании визы или в порядке, не требующем получения визы, и получившее миграционную карту, но не имеющее вида на жительство или разрешения на временное проживание.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Временно пребывающий в Российской Федерации иностранный гражданин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 лицо, прибывшее в Российскую Федерацию на основании визы или в порядке, не требующем получения визы, и получившее миграционную карту, но не имеющее вида на жительство или разрешения на временное проживание.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Временно проживающий в Российской Федерации иностранный гражданин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 лицо, получившее разрешение на временное проживание.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Постоянно проживающий в Российской Федерации иностранный гражданин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 лицо, получившее вид на жительство.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между иностранным гражданином или лицом без гражданства и работодателем не может быть заключен,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работников, являющихся иностранными гражданами или лицами без гражданства.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осуществляющие трудовую деятельность на территории России, имеют право на гарантии и компенсации, предусмотренные ТК РФ.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о трудовых правах и обязанностях, а также о способах защиты трудовых прав иностранные граждане могут получить с помощью электронного сервиса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Онлайниспекция.РФ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иностранных граждан об имеющихся вакансиях размещена на Единой цифровой платформе в сфере занятости и трудовых отношений «Работа в России» (</w:t>
      </w:r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trudvsem.ru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5CDE" w:rsidRDefault="00905CDE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DE" w:rsidRDefault="00914339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Медицинское </w:t>
      </w:r>
      <w:r w:rsidRPr="00905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страхование</w:t>
      </w:r>
      <w:r w:rsidRPr="00905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05CDE" w:rsidRDefault="00905CDE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 (полис ОМС) – это документ, который дает право гражданину на получение бесплатной медицинской помощи в государственных медицинских организациях Российской Федерации в рамках Программы государственных гарантий бесплатного оказания гражданам медицинской помощи.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Оформляется полис ОМС на основании письменного заявления о выборе (замене) страховой медицинской организации, а также документов, удостоверяющих личность гражданина.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иностранных граждан регистрация в качестве застрахованного по обязательному медицинскому страхованию осуществляется при предъявлении документов, удостоверяющих личность иностранного гражданина и СНИЛС (при наличии).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страховой компании проводится проверка вышеуказанных документов и формируется заявление установленной формы, застрахованный получает временное свидетельство, подтверждающее оформление полиса ОМС, предоставляющее равный с полисом объем прав на получение бесплатной медицинской помощи.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свидетельство действительно до момента получения полиса, но не более сорока пяти рабочих дней с даты его выдачи. По готовности полиса ОМС застрахованное лицо приглашается для его получения.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проживающим на территории Российской Федерации иностранным гражданам и лицам без гражданства полис выдается со сроком действия до конца календарного года.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имеющим право на получение медицинской помощи в соответствии с Федеральным законом «О беженцах», полис выдается со сроком действия до конца календарного года, но не более срока пребывания, установленного в документах, подтверждающих статус беженца и являющихся основанием для регистрации в качестве застрахованного по обязательному медицинскому страхованию лица.</w:t>
      </w:r>
    </w:p>
    <w:p w:rsidR="00905CDE" w:rsidRPr="003B258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необходимых документов и порядок получения полисов обязательного медицинского страхования размещен на официальном сайте территориального фонда обязательного медицинского страхования Курской области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kurskoms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B2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консультации и разъяснения по вопросам страхования можно получить по телефону горячей линии территориального фонда </w:t>
      </w:r>
      <w:r w:rsidR="00C9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8-800-301-25-51.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медицинская помощь представляется бесплатно, независимо от наличия полиса ОМС.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переезде гражданину необходимо переоформить полис, сообщив новые данные проживания в страховую медицинскую организацию, работающую на этой территории.</w:t>
      </w:r>
    </w:p>
    <w:p w:rsidR="00905CDE" w:rsidRPr="00905CDE" w:rsidRDefault="00914339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Брак и семья</w:t>
      </w:r>
      <w:r w:rsidRPr="00905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05CDE" w:rsidRDefault="00905CDE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круг лиц, связанных личными неимущественными и имущественными правами и обязанностями, вытекающими из брака, родства, усыновления или иной формы принятия детей на воспитание в семью.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Брак - это заключенный в органах записи актов гражданского состояния (далее - орган ЗАГС) союз между мужчиной и женщиной, достигших брачного возраста, основанный на их взаимном добровольном согласии, в результате чего возникают взаимные права и обязанности супругов.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ЗАГС, а также порядок государственной регистрации актов гражданского состояния регламентируется Федеральным законом от 15.11.1997 № 143-ФЗ «Об актах гражданского состояния» (далее - Федеральный закон «Об актах гражданского состояния»). Под актами гражданского состояния понимаются действия граждан или события, влияющие на возникновение, изменение или прекращение прав и обязанностей, а также характеризующие правовое состояние граждан. К актам гражданского состояния, подлежащим государственной регистрации, относятся: рождение, заключение брака, расторжение брака, установление отцовства, перемена имени, смерть, усыновление (удочерение).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Курской области государственную регистрацию актов гражданского состояния осуществляют: органы ЗАГС администраций городских округов и муниципальных районов области.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 Федерального закона «Об актах гражданского состояния» документы иностранных граждан и лиц без гражданства,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путем проставления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стран, подписавших Гаагскую конвенцию 05.10.1961, либо консульского </w:t>
      </w:r>
      <w:proofErr w:type="spell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легализационного</w:t>
      </w:r>
      <w:proofErr w:type="spell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штампа,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заключения брака.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156 Семейного кодекса Российской Федерации форма и порядок заключения брака на территории Российской Федерации определяется законодательством Российской Федерации.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требований статьи 14 Семейного кодекса Российской Федерации в отношении обстоятельств, препятствующих заключению брака.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заключение брака между: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из которых хотя бы одно лицо уже состоит в другом зарегистрированном браке;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 родственниками;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усыновленными;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 наряду с гражданством иностранного государства имеет гражданство Российской Федерации, к условиям заключения брака применяется законодательство Российской Федерации. При наличии у лица гражданства нескольких иностранных государств применяется по выбору данного лица законодательство одного из этих государств.</w:t>
      </w:r>
    </w:p>
    <w:p w:rsidR="00905CDE" w:rsidRDefault="00914339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государственной регистрации заключения брака является совместное заявление лиц, вступающих в брак.</w:t>
      </w:r>
    </w:p>
    <w:p w:rsidR="00905CDE" w:rsidRDefault="00905CDE" w:rsidP="005A1A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5CDE" w:rsidRDefault="00914339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Охрана здоровья</w:t>
      </w:r>
      <w:r w:rsidRPr="00905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05CDE" w:rsidRDefault="00905CDE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иностранные граждане, приезжающие на работу в Российскую Федерацию </w:t>
      </w:r>
      <w:proofErr w:type="gram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</w:t>
      </w:r>
      <w:proofErr w:type="gram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обследуются на социально значимые инфекции, к которым относятся ВИЧ-инфекция, туберкулез и сифилис.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- это медленно прогрессирующее инфекционное заболевание, вызываемое вирусом иммунодефицита человека (ВИЧ). Размножаясь, ВИЧ поражает клетки иммунной системы лимфоциты, которые являются клетками нашей защиты и действуют </w:t>
      </w:r>
      <w:proofErr w:type="gram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возбудителей</w:t>
      </w:r>
      <w:proofErr w:type="gram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 которые попадают в организм.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– инфекционное заболевание, которое чаще всего поражает легкие, но может и другие органы (органы брюшной полости, костный аппарат, глаза, половые органы и органы мочевой системы). Возбудителем инфекции является микобактерия туберкулеза (полочка Коха) которая очень устойчива во внешней среде, где может сохраняться длительное время.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Сифилис - хроническое инфекционное заболевание, при котором поражается кожа, слизистые оболочки, нервная система, внутренние органы и опорно-двигательный аппарат. Возбудитель сифилиса – бледная трепонема.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ВИЧ-инфекции или туберкулеза иностранные граждане подлежат депортации.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граждане, работающие на территории Российской Федерации должны быть привиты против </w:t>
      </w:r>
      <w:proofErr w:type="gramStart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инфекционных заболеваний</w:t>
      </w:r>
      <w:proofErr w:type="gramEnd"/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указаны в Национальном календаре профилактических прививок, утвержденном приказом № 1122 от 06.12.2021: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взрослые от 18 лет должны быть привиты против дифтерии и столбняка, прививка повторяется каждые 10 лет;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от 18 до 35 лет должны иметь 2 прививки против кори (вакцинация и ревакцинация);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иностранные граждане планируют работу в сфере торговли, транспорта или коммунальной сферы 2 прививки против кори должны быть у лиц от 18 до 55 лет;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от 18 до 55 лет должны быть привиты против вирусного гепатита В (всего 3 прививки);</w:t>
      </w:r>
    </w:p>
    <w:p w:rsidR="00905CDE" w:rsidRDefault="00914339" w:rsidP="00905C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от 18 лет в случае эпидемиологических показаний должны быть привиты против коронавирусной инфекции.</w:t>
      </w:r>
    </w:p>
    <w:p w:rsidR="00905CDE" w:rsidRDefault="00914339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Иностранным гражданам во время пребывания </w:t>
      </w:r>
    </w:p>
    <w:p w:rsidR="00905CDE" w:rsidRDefault="00914339" w:rsidP="00905CD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общественных местах запрещается</w:t>
      </w:r>
      <w:r w:rsidRPr="005A1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CDE" w:rsidRDefault="00905CDE" w:rsidP="0090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DE" w:rsidRP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хулиганские действия;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установленный порядок организации либо проведения собраний, митингов, демонстраций, шествий или пикетирований;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или публично демонстрировать нацистскую атрибутику или символику;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оружия;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Блокировать транспортные коммуникации;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пиво и напитки, изготовленные на его основе, алкогольную и спиртосодержащую продукцию, употреблять наркотические средства и психотропные вещества;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Появляться в общественных местах в состоянии опьянения;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Сбрасывать мусор в специально для этого не предназначенных местах;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правила содержания и охраны зеленых насаждений;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иные правила благоустройства;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правила запуска осветительных ракет и использования пиротехнических средств;</w:t>
      </w:r>
    </w:p>
    <w:p w:rsidR="00905CDE" w:rsidRDefault="00914339" w:rsidP="00905CDE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действия, нарушающие тишину и покой граждан в период с 23 до 6</w:t>
      </w:r>
      <w:r w:rsid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C926E6" w:rsidRDefault="00914339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Контактные данные</w:t>
      </w:r>
      <w:r w:rsidRPr="00905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905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Министерство</w:t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 труду и занятости населения Курской области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305000, г. Курск, Красная площадь, д. 8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+7(4712) 52-10-68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fgszn@sovtest.ru</w:t>
        </w:r>
      </w:hyperlink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Государственная инспекция труда в Курской области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305003, г. Курск, ул. Зеленая, д. 30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+7(4712) 52-98-32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git46@rostrud.ru</w:t>
        </w:r>
      </w:hyperlink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Телефоны экстренных и специальных служб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(код г. Курска 8(4712)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Единая диспетчерская служба 112, доступен даже без SIM-карты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Пожарная охрана 01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Полиция 02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Скорая медицинская помощь 03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Аварийная служба газовых сетей 04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Контактные телефоны территориального органа МВД России: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УМВД России по Курской области (г. Курск, ул. Серафима Саровского, </w:t>
      </w:r>
    </w:p>
    <w:p w:rsidR="000E5B68" w:rsidRDefault="00914339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д. 2)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(4712) 36-85-02;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УВМ УМВД России по Курской области (г. Курск, ул. Чехова, д. 12-а)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(4712) 70-06-61.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66FF" w:rsidRDefault="00914339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Официальные сайты: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hyperlink r:id="rId7" w:tgtFrame="_blank" w:history="1">
        <w:r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МВД России</w:t>
        </w:r>
      </w:hyperlink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6FF" w:rsidRDefault="004A66FF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F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мвд.рф</w:t>
      </w:r>
      <w:bookmarkStart w:id="0" w:name="_GoBack"/>
      <w:bookmarkEnd w:id="0"/>
      <w:r w:rsidR="00914339" w:rsidRPr="004A66F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br/>
      </w:r>
      <w:r w:rsidR="00914339"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="00914339"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ГУВМ МВД России</w:t>
        </w:r>
      </w:hyperlink>
      <w:r w:rsidR="00914339"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B68" w:rsidRDefault="004A66FF" w:rsidP="00905CD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5B6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проверки.гувм.мвд.рф</w:t>
      </w:r>
      <w:proofErr w:type="spellEnd"/>
      <w:r w:rsidR="00914339" w:rsidRPr="000E5B6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br/>
      </w:r>
      <w:r w:rsidR="00914339"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gtFrame="_blank" w:history="1">
        <w:r w:rsidR="00914339"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УМВД России по Курской области</w:t>
        </w:r>
      </w:hyperlink>
      <w:r w:rsidR="00914339"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339"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4339" w:rsidRPr="000E5B6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 </w:t>
      </w:r>
      <w:hyperlink r:id="rId10" w:history="1">
        <w:r w:rsidR="000E5B68" w:rsidRPr="005C3114">
          <w:rPr>
            <w:rStyle w:val="a6"/>
            <w:rFonts w:ascii="Times New Roman" w:eastAsia="Times New Roman" w:hAnsi="Times New Roman" w:cs="Times New Roman"/>
            <w:color w:val="034990" w:themeColor="hyperlink" w:themeShade="BF"/>
            <w:sz w:val="28"/>
            <w:szCs w:val="28"/>
            <w:lang w:eastAsia="ru-RU"/>
          </w:rPr>
          <w:t>46.мвд.рф</w:t>
        </w:r>
      </w:hyperlink>
    </w:p>
    <w:p w:rsidR="004A66FF" w:rsidRDefault="00914339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68">
        <w:rPr>
          <w:rFonts w:ascii="Times New Roman" w:hAnsi="Times New Roman" w:cs="Times New Roman"/>
          <w:sz w:val="28"/>
          <w:szCs w:val="28"/>
        </w:rPr>
        <w:br/>
      </w:r>
      <w:hyperlink r:id="rId11" w:tgtFrame="_blank" w:history="1">
        <w:r w:rsidRPr="00905CD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Единый портал государственных и муниципальных услуг (функций)</w:t>
        </w:r>
      </w:hyperlink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hyperlink r:id="rId12" w:history="1">
        <w:r w:rsidR="00385F45" w:rsidRPr="00C44B0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</w:p>
    <w:p w:rsidR="00914339" w:rsidRPr="00905CDE" w:rsidRDefault="00914339" w:rsidP="00905CD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Территориальный фонд обязательного медицинского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C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страхования Курской области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305029, г. Курск, ул. Ломакина, д. 17-А, телефон: +7 (4712) 53-58-30,</w:t>
      </w:r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</w:t>
      </w:r>
      <w:proofErr w:type="spellStart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05CD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A66FF" w:rsidRPr="004A66FF">
        <w:rPr>
          <w:rFonts w:ascii="Times New Roman" w:hAnsi="Times New Roman" w:cs="Times New Roman"/>
          <w:sz w:val="28"/>
          <w:szCs w:val="28"/>
          <w:u w:val="single"/>
        </w:rPr>
        <w:t>general@kurskoms.ru</w:t>
      </w:r>
    </w:p>
    <w:p w:rsidR="006C044F" w:rsidRPr="005A1AD2" w:rsidRDefault="006C044F" w:rsidP="00905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44F" w:rsidRPr="005A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336A"/>
    <w:multiLevelType w:val="hybridMultilevel"/>
    <w:tmpl w:val="AC84EBE6"/>
    <w:lvl w:ilvl="0" w:tplc="7632C5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38"/>
    <w:rsid w:val="000E5B68"/>
    <w:rsid w:val="00385F45"/>
    <w:rsid w:val="003B258E"/>
    <w:rsid w:val="004A66FF"/>
    <w:rsid w:val="005A1AD2"/>
    <w:rsid w:val="006C044F"/>
    <w:rsid w:val="00905CDE"/>
    <w:rsid w:val="00914339"/>
    <w:rsid w:val="00B80F38"/>
    <w:rsid w:val="00C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A106"/>
  <w15:chartTrackingRefBased/>
  <w15:docId w15:val="{43BEBB9B-8BCC-4CDE-8F49-E4B1B22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5C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b2a0a.xn--b1aew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ew.xn--p1ai/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46@rostrud.ru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mailto:fgszn@sovtest.ru" TargetMode="External"/><Relationship Id="rId10" Type="http://schemas.openxmlformats.org/officeDocument/2006/relationships/hyperlink" Target="https://46.&#1084;&#1074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6.xn--b1aew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Холодова</dc:creator>
  <cp:keywords/>
  <dc:description/>
  <cp:lastModifiedBy>Евгения Холодова</cp:lastModifiedBy>
  <cp:revision>6</cp:revision>
  <dcterms:created xsi:type="dcterms:W3CDTF">2025-01-15T14:37:00Z</dcterms:created>
  <dcterms:modified xsi:type="dcterms:W3CDTF">2025-02-05T09:27:00Z</dcterms:modified>
</cp:coreProperties>
</file>