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630" w:right="0" w:firstLine="0"/>
        <w:jc w:val="both"/>
        <w:spacing w:before="0" w:beforeAutospacing="0" w:after="0" w:afterAutospacing="0" w:line="289" w:lineRule="exact"/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УТВЕРЖДЕН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</w:p>
    <w:p>
      <w:pPr>
        <w:ind w:left="10630" w:right="0" w:firstLine="0"/>
        <w:jc w:val="both"/>
        <w:spacing w:before="0" w:beforeAutospacing="0" w:after="0" w:afterAutospacing="0" w:line="289" w:lineRule="exact"/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комитетом ЗАГС Курской области </w:t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4"/>
          <w:szCs w:val="24"/>
          <w14:ligatures w14:val="none"/>
        </w:rPr>
      </w:r>
    </w:p>
    <w:p>
      <w:pPr>
        <w:ind w:left="10630" w:right="0" w:firstLine="0"/>
        <w:jc w:val="both"/>
        <w:spacing w:before="0" w:beforeAutospacing="0" w:after="0" w:afterAutospacing="0" w:line="289" w:lineRule="exac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(приказ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от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03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»апреля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25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г. № 39-ОД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t xml:space="preserve">)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10630" w:right="0" w:firstLine="0"/>
        <w:jc w:val="both"/>
        <w:spacing w:before="0" w:beforeAutospacing="0" w:after="0" w:afterAutospacing="0" w:line="289" w:lineRule="exact"/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</w:p>
    <w:p>
      <w:pPr>
        <w:ind w:left="0" w:right="0" w:firstLine="0"/>
        <w:jc w:val="center"/>
        <w:spacing w:before="0" w:beforeAutospacing="0" w:after="0" w:afterAutospacing="0" w:line="289" w:lineRule="exac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t xml:space="preserve">Паспорт комплекса процессных мероприятий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before="0" w:beforeAutospacing="0" w:after="0" w:afterAutospacing="0" w:line="289" w:lineRule="exact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t xml:space="preserve">Обеспечение деятельности комитета записи актов гражданского состояния Курской области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t xml:space="preserve">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843"/>
        <w:gridCol w:w="3648"/>
        <w:gridCol w:w="351"/>
        <w:gridCol w:w="3589"/>
        <w:gridCol w:w="277"/>
      </w:tblGrid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4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89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gridSpan w:val="5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08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1. Общие положения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4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4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65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84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/>
          </w:p>
        </w:tc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865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Воробьева Ольга Алексеевна - ВРЕМЕННО ИСПОЛНЯЮЩИЙ ОБЯЗАННОСТИ ПРЕДСЕДАТЕЛЯ КОМИТЕТА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84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Связь с государственной программой</w:t>
            </w:r>
            <w:r/>
          </w:p>
        </w:tc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865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Государственная программа "Создание условий для эффективного исполнения полномочий в сфере юстиции"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4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gridSpan w:val="4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65" w:type="dxa"/>
            <w:vAlign w:val="bottom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rPr/>
        <w:tc>
          <w:tcPr>
            <w:gridSpan w:val="14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2. Показатели комплекса процессных мероприятий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2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gridSpan w:val="7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bottom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283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показателя/задачи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gridSpan w:val="7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 показателя по годам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733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достижение показателя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283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733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28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73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</w:t>
            </w:r>
            <w:r/>
          </w:p>
        </w:tc>
        <w:tc>
          <w:tcPr>
            <w:gridSpan w:val="13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Задача «Выполнение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28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Доля предписаний об устранении нарушений законодательства Российской Федерации, внесенных территориальными органами Министерства юстиции Российской Федерации, в общем количестве проведенных проверок за отчетный период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КПМ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73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1.2.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28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Количество зарегистрированных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КПМ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35 630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32 840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33 880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40 300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40 300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40 300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40 300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40 300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73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2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1.3.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28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Количество совершенных юридически значимых действий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КПМ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137 910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140 880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190 990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123 185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123 185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123 185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123 185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86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123 185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73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72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485"/>
        <w:gridCol w:w="9326"/>
        <w:gridCol w:w="2448"/>
        <w:gridCol w:w="2448"/>
        <w:gridCol w:w="2448"/>
      </w:tblGrid>
      <w:tr>
        <w:trPr/>
        <w:tc>
          <w:tcPr>
            <w:gridSpan w:val="5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2.1. Показатели комплекса процессных мероприятий по муниципальным образованиям субъекта Российской Федерации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85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326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муниципального образования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 показателя по годам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85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326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8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32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44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rPr/>
        <w:tc>
          <w:tcPr>
            <w:gridSpan w:val="18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2.2. Прокси-показатели комплекса процессных мероприятий в 2025 году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7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74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14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gridSpan w:val="1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 показателя по кварталам/месяцам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17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за достижение показателя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7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74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14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янв.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фев.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март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апр.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июнь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июль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авг.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сен.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окт.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ноя.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дек.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17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5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87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1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51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18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4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rPr/>
        <w:tc>
          <w:tcPr>
            <w:gridSpan w:val="16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3. Помесячный план достижения показателей комплекса процессных мероприятий в 2025 году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Уровень показателя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11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Плановые значения по месяцам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 конец 2025 года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янв.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фев.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март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апр.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май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июнь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июль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авг.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сен.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окт.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ноя.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16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</w:t>
            </w:r>
            <w:r/>
          </w:p>
        </w:tc>
        <w:tc>
          <w:tcPr>
            <w:gridSpan w:val="15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Задача «Выполнение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Доля предписаний об устранении нарушений законодательства Российской Федерации, внесенных территориальными органами Министерства юстиции Российской Федерации, в общем количестве проведенных проверок за отчетный период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КПМ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Процент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1.2.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Количество зарегистрированных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КПМ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33 880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1.3.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Количество совершенных юридически значимых действий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КПМ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77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190 990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1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7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rPr/>
        <w:tc>
          <w:tcPr>
            <w:gridSpan w:val="13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4. Перечень мероприятий (результатов) комплекса процессных мероприятий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2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п/п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69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мероприятия (результата)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Тип мероприятий (результата)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Единица измерения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(по ОКЕИ)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Базовое значение</w:t>
            </w:r>
            <w:r/>
          </w:p>
        </w:tc>
        <w:tc>
          <w:tcPr>
            <w:gridSpan w:val="7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2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69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значение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год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2030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2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69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</w:t>
            </w:r>
            <w:r/>
          </w:p>
        </w:tc>
      </w:tr>
      <w:tr>
        <w:trPr/>
        <w:tc>
          <w:tcPr>
            <w:gridSpan w:val="13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Задача «Выполнение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технологий»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69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Обеспечить деятельность и выполнение функций государственных органов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Осуществление текущей деятельности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Условная единица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</w:tr>
      <w:tr>
        <w:trPr/>
        <w:tc>
          <w:tcPr>
            <w:gridSpan w:val="13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Мероприятия (результаты) не направленные на решение задачи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2.1.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469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Осуществить переданные полномочия Российской Федерации на государственную регистрацию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Осуществление текущей деятельности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Условная единица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91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9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00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0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rPr/>
        <w:tc>
          <w:tcPr>
            <w:gridSpan w:val="9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5. Финансовое обеспечение комплекса процессных мероприятий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gridSpan w:val="7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bottom"/>
            <w:hMerge w:val="restart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мероприятия (результата) / источник финансового обеспечения</w:t>
            </w:r>
            <w:r/>
          </w:p>
        </w:tc>
        <w:tc>
          <w:tcPr>
            <w:gridSpan w:val="8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2029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2030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Всего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Комплекс процессных мероприятий "Обеспечение деятельности комитета записи актов гражданского состояния Курской области"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80 472,52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113 861,34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114 647,61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117 508,90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88 129,00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91 659,20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95 332,70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701 611,27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80 472,52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113 861,34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114 647,61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117 508,90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88 129,00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91 659,20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95 332,70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701 611,27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67 394,30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101 894,00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104 809,80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107 671,10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77 360,63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80 459,46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83 684,13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623 273,42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52 551,63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82 429,85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85 145,65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87 406,95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499 977,18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52 551,63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82 429,85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85 145,65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87 406,95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499 977,18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Нераспределенный резерв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Обеспечить деятельность и выполнение функций государственных органов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13 078,22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11 967,34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9 837,81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9 837,80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10 768,40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11 199,70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11 648,60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78 337,87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13 078,22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11 967,34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9 837,81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9 837,80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10 768,40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11 199,70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11 648,60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78 337,87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Осуществить переданные полномочия Российской Федерации на государственную регистрацию актов гражданского состояния (всего), в том числе: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67 394,30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101 894,00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104 809,80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107 671,10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77 360,60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80 459,50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83 684,10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623 273,40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субъекта Российской Федерации (всего), из них: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67 394,30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101 894,00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104 809,80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107 671,10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77 360,60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80 459,50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83 684,10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623 273,40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федерального бюджета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67 394,30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101 894,00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104 809,80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107 671,10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77 360,63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80 459,46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83 684,13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623 273,42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местным бюджетам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52 551,63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82 429,85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85 145,65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87 406,95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499 977,18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Консолидированные бюджеты муниципальных образований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52 551,63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82 429,85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85 145,65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87 406,95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61 648,86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64 114,82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66 679,42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499 977,18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863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Внебюджетные источники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4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0,00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63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extDirection w:val="lrTb"/>
            <w:noWrap w:val="false"/>
          </w:tcPr>
          <w:p>
            <w:pPr>
              <w:ind w:left="55" w:right="5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extDirection w:val="lrTb"/>
            <w:noWrap w:val="false"/>
          </w:tcPr>
          <w:p>
            <w:pPr>
              <w:ind w:left="55" w:right="5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extDirection w:val="lrTb"/>
            <w:noWrap w:val="false"/>
          </w:tcPr>
          <w:p>
            <w:pPr>
              <w:ind w:left="55" w:right="5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extDirection w:val="lrTb"/>
            <w:noWrap w:val="false"/>
          </w:tcPr>
          <w:p>
            <w:pPr>
              <w:ind w:left="55" w:right="5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extDirection w:val="lrTb"/>
            <w:noWrap w:val="false"/>
          </w:tcPr>
          <w:p>
            <w:pPr>
              <w:ind w:left="55" w:right="5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extDirection w:val="lrTb"/>
            <w:noWrap w:val="false"/>
          </w:tcPr>
          <w:p>
            <w:pPr>
              <w:ind w:left="55" w:right="55"/>
              <w:spacing w:after="0"/>
            </w:pPr>
            <w:r/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669"/>
        <w:gridCol w:w="3038"/>
        <w:gridCol w:w="3038"/>
      </w:tblGrid>
      <w:tr>
        <w:trPr/>
        <w:tc>
          <w:tcPr>
            <w:gridSpan w:val="3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69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2669" w:type="dxa"/>
            <w:vAlign w:val="top"/>
            <w:vMerge w:val="restart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Наименование комплекса процессных мероприятий</w:t>
            </w:r>
            <w:r/>
          </w:p>
        </w:tc>
        <w:tc>
          <w:tcPr>
            <w:gridSpan w:val="2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Объем финансового обеспечения по годам реализации, тыс. рублей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2669" w:type="dxa"/>
            <w:vAlign w:val="top"/>
            <w:vMerge w:val="continue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8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Всего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2669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3038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69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38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pPr>
        <w:spacing w:before="0" w:after="0"/>
      </w:pPr>
      <w:r>
        <w:rPr>
          <w:sz w:val="2"/>
          <w:u w:val="none"/>
        </w:rPr>
      </w:r>
      <w:r/>
    </w:p>
    <w:tbl>
      <w:tblPr>
        <w:tblW w:w="15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06"/>
        <w:gridCol w:w="6346"/>
        <w:gridCol w:w="5354"/>
        <w:gridCol w:w="4006"/>
      </w:tblGrid>
      <w:tr>
        <w:trPr/>
        <w:tc>
          <w:tcPr>
            <w:gridSpan w:val="4"/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8"/>
                <w:u w:val="none"/>
              </w:rPr>
              <w:t xml:space="preserve">6. План реализации комплекса процессных мероприятий в текущем году</w:t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Задача, мероприятие (результат) / контрольная точка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34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Дата наступления контрольной точки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3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Вид подтверждающего документа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34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354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3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4</w:t>
            </w:r>
            <w:r/>
          </w:p>
        </w:tc>
      </w:tr>
      <w:tr>
        <w:trPr/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 "Выполнение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технологий"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1. Обеспечить деятельность и выполнение функций государственных органов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34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3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Воробьева Ольга Алексеевна - ВРЕМЕННО ИСПОЛНЯЮЩИЙ ОБЯЗАННОСТИ ПРЕДСЕДАТЕЛЯ КОМИТЕТА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gridSpan w:val="4"/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0" w:type="dxa"/>
            <w:vAlign w:val="top"/>
            <w:hMerge w:val="restart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Мероприятия (результаты) не направленные на решение задачи</w:t>
            </w:r>
            <w:r/>
          </w:p>
        </w:tc>
      </w:tr>
      <w:tr>
        <w:trPr/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2. Осуществить переданные полномочия Российской Федерации на государственную регистрацию актов гражданского состояния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634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X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53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Воробьева Ольга Алексеевна - ВРЕМЕННО ИСПОЛНЯЮЩИЙ ОБЯЗАННОСТИ ПРЕДСЕДАТЕЛЯ КОМИТЕТА</w:t>
            </w:r>
            <w:r/>
          </w:p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КОМИТЕТ ЗАПИСИ АКТОВ ГРАЖДАНСКОГО СОСТОЯНИЯ КУРСКОЙ ОБЛАСТИ</w:t>
            </w:r>
            <w:r/>
          </w:p>
        </w:tc>
        <w:tc>
          <w:tcPr>
            <w:shd w:val="solid" w:color="ffffff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</w:tr>
      <w:tr>
        <w:trPr/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6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4" w:type="dxa"/>
            <w:vAlign w:val="top"/>
            <w:textDirection w:val="lrTb"/>
            <w:noWrap w:val="false"/>
          </w:tcPr>
          <w:p>
            <w:pPr>
              <w:ind w:left="55" w:right="55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</w:rPr>
            </w:r>
            <w:r/>
          </w:p>
        </w:tc>
        <w:tc>
          <w:tcPr>
            <w:shd w:val="solid" w:color="ffffff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6" w:type="dxa"/>
            <w:vAlign w:val="bottom"/>
            <w:textDirection w:val="lrTb"/>
            <w:noWrap w:val="false"/>
          </w:tcPr>
          <w:p>
            <w:pPr>
              <w:ind w:left="55" w:right="55"/>
              <w:jc w:val="left"/>
              <w:spacing w:after="0"/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16"/>
                <w:u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40" w:h="11900" w:orient="landscape"/>
      <w:pgMar w:top="1133" w:right="566" w:bottom="1133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uiPriority w:val="39"/>
    <w:unhideWhenUsed/>
    <w:pPr>
      <w:ind w:left="0" w:right="0" w:firstLine="0"/>
      <w:spacing w:after="57"/>
    </w:pPr>
  </w:style>
  <w:style w:type="paragraph" w:styleId="822">
    <w:name w:val="toc 2"/>
    <w:uiPriority w:val="39"/>
    <w:unhideWhenUsed/>
    <w:pPr>
      <w:ind w:left="283" w:right="0" w:firstLine="0"/>
      <w:spacing w:after="57"/>
    </w:pPr>
  </w:style>
  <w:style w:type="paragraph" w:styleId="823">
    <w:name w:val="toc 3"/>
    <w:uiPriority w:val="39"/>
    <w:unhideWhenUsed/>
    <w:pPr>
      <w:ind w:left="567" w:right="0" w:firstLine="0"/>
      <w:spacing w:after="57"/>
    </w:pPr>
  </w:style>
  <w:style w:type="paragraph" w:styleId="824">
    <w:name w:val="toc 4"/>
    <w:uiPriority w:val="39"/>
    <w:unhideWhenUsed/>
    <w:pPr>
      <w:ind w:left="850" w:right="0" w:firstLine="0"/>
      <w:spacing w:after="57"/>
    </w:pPr>
  </w:style>
  <w:style w:type="paragraph" w:styleId="825">
    <w:name w:val="toc 5"/>
    <w:uiPriority w:val="39"/>
    <w:unhideWhenUsed/>
    <w:pPr>
      <w:ind w:left="1134" w:right="0" w:firstLine="0"/>
      <w:spacing w:after="57"/>
    </w:pPr>
  </w:style>
  <w:style w:type="paragraph" w:styleId="826">
    <w:name w:val="toc 6"/>
    <w:uiPriority w:val="39"/>
    <w:unhideWhenUsed/>
    <w:pPr>
      <w:ind w:left="1417" w:right="0" w:firstLine="0"/>
      <w:spacing w:after="57"/>
    </w:pPr>
  </w:style>
  <w:style w:type="paragraph" w:styleId="827">
    <w:name w:val="toc 7"/>
    <w:uiPriority w:val="39"/>
    <w:unhideWhenUsed/>
    <w:pPr>
      <w:ind w:left="1701" w:right="0" w:firstLine="0"/>
      <w:spacing w:after="57"/>
    </w:pPr>
  </w:style>
  <w:style w:type="paragraph" w:styleId="828">
    <w:name w:val="toc 8"/>
    <w:uiPriority w:val="39"/>
    <w:unhideWhenUsed/>
    <w:pPr>
      <w:ind w:left="1984" w:right="0" w:firstLine="0"/>
      <w:spacing w:after="57"/>
    </w:pPr>
  </w:style>
  <w:style w:type="paragraph" w:styleId="829">
    <w:name w:val="toc 9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uiPriority w:val="99"/>
    <w:unhideWhenUsed/>
    <w:pPr>
      <w:spacing w:after="0" w:afterAutospacing="0"/>
    </w:pPr>
  </w:style>
  <w:style w:type="paragraph" w:styleId="832">
    <w:name w:val="Версия сервера генератора печатных документов: 14.55 Версия клиента генератора печатных документов: 14.0.32 Текущий пользователь: 46_Parxomenko.A.V1_b5a36e278fa547c1bf1156b3080c664b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type="character" w:styleId="833" w:default="1">
    <w:name w:val="Default Paragraph Font"/>
    <w:uiPriority w:val="1"/>
    <w:semiHidden/>
    <w:unhideWhenUsed/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2</cp:revision>
  <dcterms:created xsi:type="dcterms:W3CDTF">2025-04-03T08:41:43Z</dcterms:created>
  <dcterms:modified xsi:type="dcterms:W3CDTF">2025-04-07T11:07:15Z</dcterms:modified>
</cp:coreProperties>
</file>